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E3" w:rsidRPr="00013EF8" w:rsidRDefault="001F65E3" w:rsidP="00013EF8">
      <w:pPr>
        <w:pStyle w:val="Titolo1"/>
        <w:shd w:val="clear" w:color="auto" w:fill="FFFFFF"/>
        <w:spacing w:before="0" w:after="136"/>
        <w:jc w:val="center"/>
        <w:rPr>
          <w:rFonts w:ascii="Arial" w:hAnsi="Arial" w:cs="Arial"/>
          <w:color w:val="222222"/>
          <w:sz w:val="32"/>
          <w:szCs w:val="32"/>
          <w:u w:val="single"/>
        </w:rPr>
      </w:pPr>
      <w:r w:rsidRPr="00013EF8">
        <w:rPr>
          <w:rFonts w:ascii="Arial" w:hAnsi="Arial" w:cs="Arial"/>
          <w:color w:val="222222"/>
          <w:sz w:val="32"/>
          <w:szCs w:val="32"/>
          <w:u w:val="single"/>
        </w:rPr>
        <w:t>Ritardo busta paga: 7mila euro di multa</w:t>
      </w:r>
    </w:p>
    <w:p w:rsidR="001F65E3" w:rsidRPr="001F65E3" w:rsidRDefault="001F65E3" w:rsidP="00013EF8">
      <w:pPr>
        <w:pStyle w:val="Titolo2"/>
        <w:shd w:val="clear" w:color="auto" w:fill="FFFFFF"/>
        <w:spacing w:before="0" w:beforeAutospacing="0" w:after="136" w:afterAutospacing="0" w:line="306" w:lineRule="atLeast"/>
        <w:jc w:val="center"/>
        <w:rPr>
          <w:rFonts w:ascii="Arial" w:hAnsi="Arial" w:cs="Arial"/>
          <w:b w:val="0"/>
          <w:bCs w:val="0"/>
          <w:i/>
          <w:iCs/>
          <w:color w:val="222222"/>
          <w:sz w:val="32"/>
          <w:szCs w:val="32"/>
        </w:rPr>
      </w:pPr>
      <w:r w:rsidRPr="00013EF8">
        <w:rPr>
          <w:rFonts w:ascii="Arial" w:hAnsi="Arial" w:cs="Arial"/>
          <w:bCs w:val="0"/>
          <w:i/>
          <w:iCs/>
          <w:color w:val="222222"/>
          <w:sz w:val="24"/>
          <w:szCs w:val="24"/>
        </w:rPr>
        <w:t>Normativa di riferimento in materia di prospetto paga: obblighi del datore di lavoro su modalità e tempi di consegna della busta paga, regime sanzionatorio per ritardi e omissioni</w:t>
      </w:r>
      <w:r w:rsidRPr="001F65E3">
        <w:rPr>
          <w:rFonts w:ascii="Arial" w:hAnsi="Arial" w:cs="Arial"/>
          <w:b w:val="0"/>
          <w:bCs w:val="0"/>
          <w:i/>
          <w:iCs/>
          <w:color w:val="222222"/>
          <w:sz w:val="32"/>
          <w:szCs w:val="32"/>
        </w:rPr>
        <w:t>.</w:t>
      </w:r>
    </w:p>
    <w:p w:rsidR="001F65E3" w:rsidRPr="001F65E3" w:rsidRDefault="001F65E3" w:rsidP="00013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it-IT"/>
        </w:rPr>
      </w:pPr>
      <w:r w:rsidRPr="001F65E3">
        <w:rPr>
          <w:rFonts w:ascii="Arial" w:eastAsia="Times New Roman" w:hAnsi="Arial" w:cs="Arial"/>
          <w:color w:val="1A1A1A"/>
          <w:lang w:eastAsia="it-IT"/>
        </w:rPr>
        <w:t>La </w:t>
      </w:r>
      <w:r w:rsidRPr="001F65E3">
        <w:rPr>
          <w:rFonts w:ascii="Arial" w:eastAsia="Times New Roman" w:hAnsi="Arial" w:cs="Arial"/>
          <w:b/>
          <w:bCs/>
          <w:color w:val="1A1A1A"/>
          <w:lang w:eastAsia="it-IT"/>
        </w:rPr>
        <w:t>retribuzione</w:t>
      </w:r>
      <w:r w:rsidRPr="001F65E3">
        <w:rPr>
          <w:rFonts w:ascii="Arial" w:eastAsia="Times New Roman" w:hAnsi="Arial" w:cs="Arial"/>
          <w:color w:val="1A1A1A"/>
          <w:lang w:eastAsia="it-IT"/>
        </w:rPr>
        <w:t> rappresenta il principale obbligo del datore di lavoro, conferendo alla prestazione il carattere di contratto oneroso di scambio. Allo stesso modo, vige l’obbligo di consegna </w:t>
      </w:r>
      <w:r w:rsidRPr="001F65E3">
        <w:rPr>
          <w:rFonts w:ascii="Arial" w:eastAsia="Times New Roman" w:hAnsi="Arial" w:cs="Arial"/>
          <w:b/>
          <w:bCs/>
          <w:color w:val="1A1A1A"/>
          <w:lang w:eastAsia="it-IT"/>
        </w:rPr>
        <w:t>contestuale</w:t>
      </w:r>
      <w:r w:rsidRPr="001F65E3">
        <w:rPr>
          <w:rFonts w:ascii="Arial" w:eastAsia="Times New Roman" w:hAnsi="Arial" w:cs="Arial"/>
          <w:color w:val="1A1A1A"/>
          <w:lang w:eastAsia="it-IT"/>
        </w:rPr>
        <w:t> al dipendente della </w:t>
      </w:r>
      <w:r w:rsidRPr="001F65E3">
        <w:rPr>
          <w:rFonts w:ascii="Arial" w:eastAsia="Times New Roman" w:hAnsi="Arial" w:cs="Arial"/>
          <w:b/>
          <w:bCs/>
          <w:color w:val="1A1A1A"/>
          <w:lang w:eastAsia="it-IT"/>
        </w:rPr>
        <w:t>busta paga</w:t>
      </w:r>
      <w:r w:rsidRPr="001F65E3">
        <w:rPr>
          <w:rFonts w:ascii="Arial" w:eastAsia="Times New Roman" w:hAnsi="Arial" w:cs="Arial"/>
          <w:color w:val="1A1A1A"/>
          <w:lang w:eastAsia="it-IT"/>
        </w:rPr>
        <w:t>, documento in grado di mettere il lavoratore in condizione di verificare come è stato determinato il proprio compenso, come previsto dalla Legge n. 4/1953.</w:t>
      </w:r>
    </w:p>
    <w:p w:rsidR="001F65E3" w:rsidRPr="00013EF8" w:rsidRDefault="001F65E3" w:rsidP="00013EF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1A1A1A"/>
          <w:sz w:val="24"/>
          <w:szCs w:val="24"/>
          <w:u w:val="single"/>
          <w:lang w:eastAsia="it-IT"/>
        </w:rPr>
      </w:pPr>
      <w:r w:rsidRPr="00013EF8">
        <w:rPr>
          <w:rFonts w:ascii="Arial" w:eastAsia="Times New Roman" w:hAnsi="Arial" w:cs="Arial"/>
          <w:b/>
          <w:bCs/>
          <w:color w:val="1A1A1A"/>
          <w:sz w:val="24"/>
          <w:szCs w:val="24"/>
          <w:u w:val="single"/>
          <w:lang w:eastAsia="it-IT"/>
        </w:rPr>
        <w:t>Tempi di consegna</w:t>
      </w:r>
    </w:p>
    <w:p w:rsidR="001F65E3" w:rsidRPr="001F65E3" w:rsidRDefault="001F65E3" w:rsidP="00013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it-IT"/>
        </w:rPr>
      </w:pPr>
      <w:r w:rsidRPr="001F65E3">
        <w:rPr>
          <w:rFonts w:ascii="Arial" w:eastAsia="Times New Roman" w:hAnsi="Arial" w:cs="Arial"/>
          <w:color w:val="1A1A1A"/>
          <w:lang w:eastAsia="it-IT"/>
        </w:rPr>
        <w:t>Per quanto concerne i </w:t>
      </w:r>
      <w:r w:rsidRPr="001F65E3">
        <w:rPr>
          <w:rFonts w:ascii="Arial" w:eastAsia="Times New Roman" w:hAnsi="Arial" w:cs="Arial"/>
          <w:b/>
          <w:bCs/>
          <w:color w:val="1A1A1A"/>
          <w:lang w:eastAsia="it-IT"/>
        </w:rPr>
        <w:t>tempi </w:t>
      </w:r>
      <w:r w:rsidRPr="001F65E3">
        <w:rPr>
          <w:rFonts w:ascii="Arial" w:eastAsia="Times New Roman" w:hAnsi="Arial" w:cs="Arial"/>
          <w:color w:val="1A1A1A"/>
          <w:lang w:eastAsia="it-IT"/>
        </w:rPr>
        <w:t>di consegna della busta paga resta il riferimento alla disciplina di riferimento, ossia la </w:t>
      </w:r>
      <w:r w:rsidRPr="001F65E3">
        <w:rPr>
          <w:rFonts w:ascii="Arial" w:eastAsia="Times New Roman" w:hAnsi="Arial" w:cs="Arial"/>
          <w:b/>
          <w:bCs/>
          <w:color w:val="1A1A1A"/>
          <w:lang w:eastAsia="it-IT"/>
        </w:rPr>
        <w:t>legge n. 4/1953</w:t>
      </w:r>
      <w:r w:rsidRPr="001F65E3">
        <w:rPr>
          <w:rFonts w:ascii="Arial" w:eastAsia="Times New Roman" w:hAnsi="Arial" w:cs="Arial"/>
          <w:color w:val="1A1A1A"/>
          <w:lang w:eastAsia="it-IT"/>
        </w:rPr>
        <w:t>. L’articolo 1 prevede l’obbligo di consegnare il </w:t>
      </w:r>
      <w:r w:rsidRPr="001F65E3">
        <w:rPr>
          <w:rFonts w:ascii="Arial" w:eastAsia="Times New Roman" w:hAnsi="Arial" w:cs="Arial"/>
          <w:b/>
          <w:bCs/>
          <w:color w:val="1A1A1A"/>
          <w:lang w:eastAsia="it-IT"/>
        </w:rPr>
        <w:t>prospetto di paga </w:t>
      </w:r>
      <w:r w:rsidRPr="001F65E3">
        <w:rPr>
          <w:rFonts w:ascii="Arial" w:eastAsia="Times New Roman" w:hAnsi="Arial" w:cs="Arial"/>
          <w:color w:val="1A1A1A"/>
          <w:lang w:eastAsia="it-IT"/>
        </w:rPr>
        <w:t>ai dipendenti (con esclusione dei dirigenti) </w:t>
      </w:r>
      <w:r w:rsidRPr="001F65E3">
        <w:rPr>
          <w:rFonts w:ascii="Arial" w:eastAsia="Times New Roman" w:hAnsi="Arial" w:cs="Arial"/>
          <w:b/>
          <w:bCs/>
          <w:color w:val="1A1A1A"/>
          <w:lang w:eastAsia="it-IT"/>
        </w:rPr>
        <w:t>all’atto della corresponsione della retribuzione</w:t>
      </w:r>
      <w:r w:rsidRPr="001F65E3">
        <w:rPr>
          <w:rFonts w:ascii="Arial" w:eastAsia="Times New Roman" w:hAnsi="Arial" w:cs="Arial"/>
          <w:color w:val="1A1A1A"/>
          <w:lang w:eastAsia="it-IT"/>
        </w:rPr>
        <w:t>.</w:t>
      </w:r>
    </w:p>
    <w:p w:rsidR="001F65E3" w:rsidRPr="001F65E3" w:rsidRDefault="001F65E3" w:rsidP="00013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it-IT"/>
        </w:rPr>
      </w:pPr>
      <w:r w:rsidRPr="001F65E3">
        <w:rPr>
          <w:rFonts w:ascii="Arial" w:eastAsia="Times New Roman" w:hAnsi="Arial" w:cs="Arial"/>
          <w:color w:val="1A1A1A"/>
          <w:lang w:eastAsia="it-IT"/>
        </w:rPr>
        <w:t>Anche l’’articolo 3 prevede che il prospetto di paga debba essere consegnato al lavoratore nel momento stesso in cui gli viene consegnata la retribuzione.</w:t>
      </w:r>
    </w:p>
    <w:p w:rsidR="001F65E3" w:rsidRPr="00013EF8" w:rsidRDefault="001F65E3" w:rsidP="00013EF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1A1A1A"/>
          <w:sz w:val="24"/>
          <w:szCs w:val="24"/>
          <w:u w:val="single"/>
          <w:lang w:eastAsia="it-IT"/>
        </w:rPr>
      </w:pPr>
      <w:r w:rsidRPr="00013EF8">
        <w:rPr>
          <w:rFonts w:ascii="Arial" w:eastAsia="Times New Roman" w:hAnsi="Arial" w:cs="Arial"/>
          <w:b/>
          <w:bCs/>
          <w:color w:val="1A1A1A"/>
          <w:sz w:val="24"/>
          <w:szCs w:val="24"/>
          <w:u w:val="single"/>
          <w:lang w:eastAsia="it-IT"/>
        </w:rPr>
        <w:t>Modalità di consegna</w:t>
      </w:r>
    </w:p>
    <w:p w:rsidR="001F65E3" w:rsidRPr="001F65E3" w:rsidRDefault="001F65E3" w:rsidP="00013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it-IT"/>
        </w:rPr>
      </w:pPr>
      <w:r w:rsidRPr="001F65E3">
        <w:rPr>
          <w:rFonts w:ascii="Arial" w:eastAsia="Times New Roman" w:hAnsi="Arial" w:cs="Arial"/>
          <w:color w:val="1A1A1A"/>
          <w:lang w:eastAsia="it-IT"/>
        </w:rPr>
        <w:t>Oltre alla consegna cartacea, come chiarito dal Ministero del Lavoro:</w:t>
      </w:r>
    </w:p>
    <w:p w:rsidR="001F65E3" w:rsidRPr="001F65E3" w:rsidRDefault="001F65E3" w:rsidP="00013EF8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i/>
          <w:iCs/>
          <w:color w:val="1A1A1A"/>
          <w:lang w:eastAsia="it-IT"/>
        </w:rPr>
      </w:pPr>
      <w:r w:rsidRPr="001F65E3">
        <w:rPr>
          <w:rFonts w:ascii="Arial" w:eastAsia="Times New Roman" w:hAnsi="Arial" w:cs="Arial"/>
          <w:i/>
          <w:iCs/>
          <w:color w:val="1A1A1A"/>
          <w:lang w:eastAsia="it-IT"/>
        </w:rPr>
        <w:t>“non si ravvisano motivi ostativi all’invio del prospetto di paga con</w:t>
      </w:r>
      <w:r w:rsidRPr="001F65E3">
        <w:rPr>
          <w:rFonts w:ascii="Arial" w:eastAsia="Times New Roman" w:hAnsi="Arial" w:cs="Arial"/>
          <w:b/>
          <w:bCs/>
          <w:i/>
          <w:iCs/>
          <w:color w:val="1A1A1A"/>
          <w:lang w:eastAsia="it-IT"/>
        </w:rPr>
        <w:t> posta elettronica</w:t>
      </w:r>
      <w:r w:rsidRPr="001F65E3">
        <w:rPr>
          <w:rFonts w:ascii="Arial" w:eastAsia="Times New Roman" w:hAnsi="Arial" w:cs="Arial"/>
          <w:i/>
          <w:iCs/>
          <w:color w:val="1A1A1A"/>
          <w:lang w:eastAsia="it-IT"/>
        </w:rPr>
        <w:t>, se si considera la prassi generalizzata dell’accredito diretto dello stipendio in conto corrente bancario e la notevole diffusione delle conoscenze informatiche, purché vi sia la</w:t>
      </w:r>
      <w:r w:rsidRPr="001F65E3">
        <w:rPr>
          <w:rFonts w:ascii="Arial" w:eastAsia="Times New Roman" w:hAnsi="Arial" w:cs="Arial"/>
          <w:b/>
          <w:bCs/>
          <w:i/>
          <w:iCs/>
          <w:color w:val="1A1A1A"/>
          <w:lang w:eastAsia="it-IT"/>
        </w:rPr>
        <w:t> prova</w:t>
      </w:r>
      <w:r w:rsidRPr="001F65E3">
        <w:rPr>
          <w:rFonts w:ascii="Arial" w:eastAsia="Times New Roman" w:hAnsi="Arial" w:cs="Arial"/>
          <w:i/>
          <w:iCs/>
          <w:color w:val="1A1A1A"/>
          <w:lang w:eastAsia="it-IT"/>
        </w:rPr>
        <w:t> legale dell’effettiva</w:t>
      </w:r>
      <w:r w:rsidRPr="001F65E3">
        <w:rPr>
          <w:rFonts w:ascii="Arial" w:eastAsia="Times New Roman" w:hAnsi="Arial" w:cs="Arial"/>
          <w:b/>
          <w:bCs/>
          <w:i/>
          <w:iCs/>
          <w:color w:val="1A1A1A"/>
          <w:lang w:eastAsia="it-IT"/>
        </w:rPr>
        <w:t> consegna </w:t>
      </w:r>
      <w:r w:rsidRPr="001F65E3">
        <w:rPr>
          <w:rFonts w:ascii="Arial" w:eastAsia="Times New Roman" w:hAnsi="Arial" w:cs="Arial"/>
          <w:i/>
          <w:iCs/>
          <w:color w:val="1A1A1A"/>
          <w:lang w:eastAsia="it-IT"/>
        </w:rPr>
        <w:t>del prospetto di paga al lavoratore alla </w:t>
      </w:r>
      <w:r w:rsidRPr="001F65E3">
        <w:rPr>
          <w:rFonts w:ascii="Arial" w:eastAsia="Times New Roman" w:hAnsi="Arial" w:cs="Arial"/>
          <w:b/>
          <w:bCs/>
          <w:i/>
          <w:iCs/>
          <w:color w:val="1A1A1A"/>
          <w:lang w:eastAsia="it-IT"/>
        </w:rPr>
        <w:t>scadenza</w:t>
      </w:r>
      <w:r w:rsidRPr="001F65E3">
        <w:rPr>
          <w:rFonts w:ascii="Arial" w:eastAsia="Times New Roman" w:hAnsi="Arial" w:cs="Arial"/>
          <w:i/>
          <w:iCs/>
          <w:color w:val="1A1A1A"/>
          <w:lang w:eastAsia="it-IT"/>
        </w:rPr>
        <w:t> prevista per il </w:t>
      </w:r>
      <w:r w:rsidRPr="001F65E3">
        <w:rPr>
          <w:rFonts w:ascii="Arial" w:eastAsia="Times New Roman" w:hAnsi="Arial" w:cs="Arial"/>
          <w:b/>
          <w:bCs/>
          <w:i/>
          <w:iCs/>
          <w:color w:val="1A1A1A"/>
          <w:lang w:eastAsia="it-IT"/>
        </w:rPr>
        <w:t>pagamento</w:t>
      </w:r>
      <w:r w:rsidRPr="001F65E3">
        <w:rPr>
          <w:rFonts w:ascii="Arial" w:eastAsia="Times New Roman" w:hAnsi="Arial" w:cs="Arial"/>
          <w:i/>
          <w:iCs/>
          <w:color w:val="1A1A1A"/>
          <w:lang w:eastAsia="it-IT"/>
        </w:rPr>
        <w:t> della retribuzione”.</w:t>
      </w:r>
    </w:p>
    <w:p w:rsidR="001F65E3" w:rsidRPr="001F65E3" w:rsidRDefault="001F65E3" w:rsidP="00013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it-IT"/>
        </w:rPr>
      </w:pPr>
      <w:r w:rsidRPr="001F65E3">
        <w:rPr>
          <w:rFonts w:ascii="Arial" w:eastAsia="Times New Roman" w:hAnsi="Arial" w:cs="Arial"/>
          <w:color w:val="1A1A1A"/>
          <w:lang w:eastAsia="it-IT"/>
        </w:rPr>
        <w:t>Indirettamente, quindi, viene confermata la necessità di inviare il prospetto paga negli stessi tempi previsti per il versamento dello stipendio (che di norma scatta a fine mese o nei primi giorni di quello successivo).</w:t>
      </w:r>
    </w:p>
    <w:p w:rsidR="001F65E3" w:rsidRPr="00013EF8" w:rsidRDefault="001F65E3" w:rsidP="00013EF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1A1A1A"/>
          <w:sz w:val="24"/>
          <w:szCs w:val="24"/>
          <w:u w:val="single"/>
          <w:lang w:eastAsia="it-IT"/>
        </w:rPr>
      </w:pPr>
      <w:r w:rsidRPr="00013EF8">
        <w:rPr>
          <w:rFonts w:ascii="Arial" w:eastAsia="Times New Roman" w:hAnsi="Arial" w:cs="Arial"/>
          <w:bCs/>
          <w:color w:val="1A1A1A"/>
          <w:sz w:val="24"/>
          <w:szCs w:val="24"/>
          <w:u w:val="single"/>
          <w:lang w:eastAsia="it-IT"/>
        </w:rPr>
        <w:t>Sanzioni busta paga</w:t>
      </w:r>
    </w:p>
    <w:p w:rsidR="001F65E3" w:rsidRPr="001F65E3" w:rsidRDefault="001F65E3" w:rsidP="00013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it-IT"/>
        </w:rPr>
      </w:pPr>
      <w:r w:rsidRPr="00013EF8">
        <w:rPr>
          <w:rFonts w:ascii="Arial" w:eastAsia="Times New Roman" w:hAnsi="Arial" w:cs="Arial"/>
          <w:color w:val="1A1A1A"/>
          <w:lang w:eastAsia="it-IT"/>
        </w:rPr>
        <w:t>Per quanto concerne le </w:t>
      </w:r>
      <w:r w:rsidRPr="00013EF8">
        <w:rPr>
          <w:rFonts w:ascii="Arial" w:eastAsia="Times New Roman" w:hAnsi="Arial" w:cs="Arial"/>
          <w:bCs/>
          <w:color w:val="1A1A1A"/>
          <w:lang w:eastAsia="it-IT"/>
        </w:rPr>
        <w:t>sanzioni</w:t>
      </w:r>
      <w:r w:rsidRPr="001F65E3">
        <w:rPr>
          <w:rFonts w:ascii="Arial" w:eastAsia="Times New Roman" w:hAnsi="Arial" w:cs="Arial"/>
          <w:b/>
          <w:bCs/>
          <w:color w:val="1A1A1A"/>
          <w:lang w:eastAsia="it-IT"/>
        </w:rPr>
        <w:t> </w:t>
      </w:r>
      <w:r w:rsidRPr="001F65E3">
        <w:rPr>
          <w:rFonts w:ascii="Arial" w:eastAsia="Times New Roman" w:hAnsi="Arial" w:cs="Arial"/>
          <w:color w:val="1A1A1A"/>
          <w:lang w:eastAsia="it-IT"/>
        </w:rPr>
        <w:t>relative ai mancati obblighi legati al </w:t>
      </w:r>
      <w:r w:rsidRPr="001F65E3">
        <w:rPr>
          <w:rFonts w:ascii="Arial" w:eastAsia="Times New Roman" w:hAnsi="Arial" w:cs="Arial"/>
          <w:b/>
          <w:bCs/>
          <w:color w:val="1A1A1A"/>
          <w:lang w:eastAsia="it-IT"/>
        </w:rPr>
        <w:t>prospetto paga</w:t>
      </w:r>
      <w:r w:rsidRPr="001F65E3">
        <w:rPr>
          <w:rFonts w:ascii="Arial" w:eastAsia="Times New Roman" w:hAnsi="Arial" w:cs="Arial"/>
          <w:color w:val="1A1A1A"/>
          <w:lang w:eastAsia="it-IT"/>
        </w:rPr>
        <w:t>, il comma 7 dell’art. 22 del d.lgs. n. 151/2015 ha introdotto una struttura progressiva per </w:t>
      </w:r>
      <w:r w:rsidRPr="001F65E3">
        <w:rPr>
          <w:rFonts w:ascii="Arial" w:eastAsia="Times New Roman" w:hAnsi="Arial" w:cs="Arial"/>
          <w:b/>
          <w:bCs/>
          <w:color w:val="1A1A1A"/>
          <w:lang w:eastAsia="it-IT"/>
        </w:rPr>
        <w:t>fasce di gravità</w:t>
      </w:r>
      <w:r w:rsidRPr="001F65E3">
        <w:rPr>
          <w:rFonts w:ascii="Arial" w:eastAsia="Times New Roman" w:hAnsi="Arial" w:cs="Arial"/>
          <w:color w:val="1A1A1A"/>
          <w:lang w:eastAsia="it-IT"/>
        </w:rPr>
        <w:t>:</w:t>
      </w:r>
    </w:p>
    <w:p w:rsidR="001F65E3" w:rsidRPr="001F65E3" w:rsidRDefault="001F65E3" w:rsidP="00013E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04"/>
        <w:jc w:val="both"/>
        <w:rPr>
          <w:rFonts w:ascii="Arial" w:eastAsia="Times New Roman" w:hAnsi="Arial" w:cs="Arial"/>
          <w:color w:val="1A1A1A"/>
          <w:lang w:eastAsia="it-IT"/>
        </w:rPr>
      </w:pPr>
      <w:r w:rsidRPr="001F65E3">
        <w:rPr>
          <w:rFonts w:ascii="Arial" w:eastAsia="Times New Roman" w:hAnsi="Arial" w:cs="Arial"/>
          <w:color w:val="1A1A1A"/>
          <w:lang w:eastAsia="it-IT"/>
        </w:rPr>
        <w:t>da 150 a 900 euro se la violazione interessa da 1 a 5 lavoratori o se si perpetra per un periodo fino a 6 mensilità;</w:t>
      </w:r>
    </w:p>
    <w:p w:rsidR="001F65E3" w:rsidRPr="001F65E3" w:rsidRDefault="001F65E3" w:rsidP="00013E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04"/>
        <w:jc w:val="both"/>
        <w:rPr>
          <w:rFonts w:ascii="Arial" w:eastAsia="Times New Roman" w:hAnsi="Arial" w:cs="Arial"/>
          <w:color w:val="1A1A1A"/>
          <w:lang w:eastAsia="it-IT"/>
        </w:rPr>
      </w:pPr>
      <w:r w:rsidRPr="001F65E3">
        <w:rPr>
          <w:rFonts w:ascii="Arial" w:eastAsia="Times New Roman" w:hAnsi="Arial" w:cs="Arial"/>
          <w:color w:val="1A1A1A"/>
          <w:lang w:eastAsia="it-IT"/>
        </w:rPr>
        <w:t>da 600 a 3.600 euro se riguarda più di 5 lavoratori o supera i 6 mesi;</w:t>
      </w:r>
    </w:p>
    <w:p w:rsidR="001F65E3" w:rsidRPr="001F65E3" w:rsidRDefault="001F65E3" w:rsidP="00013E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04"/>
        <w:jc w:val="both"/>
        <w:rPr>
          <w:rFonts w:ascii="Arial" w:eastAsia="Times New Roman" w:hAnsi="Arial" w:cs="Arial"/>
          <w:color w:val="1A1A1A"/>
          <w:lang w:eastAsia="it-IT"/>
        </w:rPr>
      </w:pPr>
      <w:r w:rsidRPr="001F65E3">
        <w:rPr>
          <w:rFonts w:ascii="Arial" w:eastAsia="Times New Roman" w:hAnsi="Arial" w:cs="Arial"/>
          <w:color w:val="1A1A1A"/>
          <w:lang w:eastAsia="it-IT"/>
        </w:rPr>
        <w:t>da 1.200 a 7.200 euro se riguarda più di 10 lavoratori o più di 12 mesi.</w:t>
      </w:r>
    </w:p>
    <w:p w:rsidR="001F65E3" w:rsidRPr="001F65E3" w:rsidRDefault="001F65E3" w:rsidP="00013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it-IT"/>
        </w:rPr>
      </w:pPr>
      <w:r w:rsidRPr="001F65E3">
        <w:rPr>
          <w:rFonts w:ascii="Arial" w:eastAsia="Times New Roman" w:hAnsi="Arial" w:cs="Arial"/>
          <w:color w:val="1A1A1A"/>
          <w:lang w:eastAsia="it-IT"/>
        </w:rPr>
        <w:t>Viene inoltre disposto che le sanzioni relative alla </w:t>
      </w:r>
      <w:r w:rsidRPr="001F65E3">
        <w:rPr>
          <w:rFonts w:ascii="Arial" w:eastAsia="Times New Roman" w:hAnsi="Arial" w:cs="Arial"/>
          <w:b/>
          <w:bCs/>
          <w:color w:val="1A1A1A"/>
          <w:lang w:eastAsia="it-IT"/>
        </w:rPr>
        <w:t>mancata consegna</w:t>
      </w:r>
      <w:r w:rsidRPr="001F65E3">
        <w:rPr>
          <w:rFonts w:ascii="Arial" w:eastAsia="Times New Roman" w:hAnsi="Arial" w:cs="Arial"/>
          <w:color w:val="1A1A1A"/>
          <w:lang w:eastAsia="it-IT"/>
        </w:rPr>
        <w:t> della busta paga non si applichino nei confronti del datore di lavoro che assolve gli obblighi in materia di prospetto di paga, mediante la consegna al lavoratore di </w:t>
      </w:r>
      <w:r w:rsidRPr="001F65E3">
        <w:rPr>
          <w:rFonts w:ascii="Arial" w:eastAsia="Times New Roman" w:hAnsi="Arial" w:cs="Arial"/>
          <w:b/>
          <w:bCs/>
          <w:color w:val="1A1A1A"/>
          <w:lang w:eastAsia="it-IT"/>
        </w:rPr>
        <w:t>copia</w:t>
      </w:r>
      <w:r w:rsidRPr="001F65E3">
        <w:rPr>
          <w:rFonts w:ascii="Arial" w:eastAsia="Times New Roman" w:hAnsi="Arial" w:cs="Arial"/>
          <w:color w:val="1A1A1A"/>
          <w:lang w:eastAsia="it-IT"/>
        </w:rPr>
        <w:t> delle registrazioni effettuate nel libro unico del lavoro. In tale ipotesi il datore di lavoro rimane però sanzionabile ai sensi dell’articolo 39, comma 7, del d.l. n. 112/2008, convertito dalla legge n. 133/2008.</w:t>
      </w:r>
    </w:p>
    <w:p w:rsidR="00013EF8" w:rsidRDefault="00013EF8" w:rsidP="00013EF8">
      <w:pPr>
        <w:shd w:val="clear" w:color="auto" w:fill="FFFFFF"/>
        <w:spacing w:after="0" w:line="272" w:lineRule="atLeast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it-IT"/>
        </w:rPr>
      </w:pPr>
    </w:p>
    <w:p w:rsidR="00013EF8" w:rsidRDefault="00013EF8" w:rsidP="001F65E3">
      <w:pPr>
        <w:shd w:val="clear" w:color="auto" w:fill="FFFFFF"/>
        <w:spacing w:after="0" w:line="272" w:lineRule="atLeast"/>
        <w:jc w:val="center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it-IT"/>
        </w:rPr>
      </w:pPr>
    </w:p>
    <w:p w:rsidR="00013EF8" w:rsidRPr="001F65E3" w:rsidRDefault="00013EF8" w:rsidP="001F65E3">
      <w:pPr>
        <w:shd w:val="clear" w:color="auto" w:fill="FFFFFF"/>
        <w:spacing w:after="0" w:line="272" w:lineRule="atLeast"/>
        <w:jc w:val="center"/>
        <w:textAlignment w:val="top"/>
        <w:rPr>
          <w:rFonts w:ascii="Arial" w:eastAsia="Times New Roman" w:hAnsi="Arial" w:cs="Arial"/>
          <w:color w:val="444444"/>
          <w:sz w:val="15"/>
          <w:szCs w:val="15"/>
          <w:lang w:eastAsia="it-IT"/>
        </w:rPr>
      </w:pPr>
    </w:p>
    <w:p w:rsidR="00013EF8" w:rsidRPr="00CF0884" w:rsidRDefault="00013EF8" w:rsidP="00013EF8">
      <w:pPr>
        <w:spacing w:after="0"/>
        <w:jc w:val="center"/>
        <w:rPr>
          <w:rFonts w:ascii="Bradley Hand ITC" w:hAnsi="Bradley Hand ITC"/>
          <w:b/>
          <w:sz w:val="44"/>
          <w:szCs w:val="44"/>
        </w:rPr>
      </w:pPr>
      <w:r w:rsidRPr="00CF0884">
        <w:rPr>
          <w:rFonts w:ascii="Bradley Hand ITC" w:hAnsi="Bradley Hand ITC"/>
          <w:b/>
          <w:sz w:val="44"/>
          <w:szCs w:val="44"/>
        </w:rPr>
        <w:t>LAIF</w:t>
      </w:r>
    </w:p>
    <w:p w:rsidR="00013EF8" w:rsidRDefault="00013EF8" w:rsidP="00013EF8">
      <w:pPr>
        <w:spacing w:after="0"/>
        <w:jc w:val="center"/>
        <w:rPr>
          <w:rFonts w:ascii="Bradley Hand ITC" w:hAnsi="Bradley Hand ITC"/>
          <w:b/>
          <w:i/>
          <w:sz w:val="24"/>
          <w:szCs w:val="24"/>
        </w:rPr>
      </w:pPr>
      <w:r w:rsidRPr="005C2058">
        <w:rPr>
          <w:rFonts w:ascii="Bradley Hand ITC" w:hAnsi="Bradley Hand ITC"/>
          <w:b/>
          <w:i/>
          <w:sz w:val="24"/>
          <w:szCs w:val="24"/>
        </w:rPr>
        <w:t xml:space="preserve">Libera Associazione Imprese </w:t>
      </w:r>
      <w:proofErr w:type="spellStart"/>
      <w:r w:rsidRPr="005C2058">
        <w:rPr>
          <w:rFonts w:ascii="Bradley Hand ITC" w:hAnsi="Bradley Hand ITC"/>
          <w:b/>
          <w:i/>
          <w:sz w:val="24"/>
          <w:szCs w:val="24"/>
        </w:rPr>
        <w:t>Façoniste</w:t>
      </w:r>
      <w:proofErr w:type="spellEnd"/>
    </w:p>
    <w:p w:rsidR="00013EF8" w:rsidRDefault="00013EF8" w:rsidP="00013EF8">
      <w:pPr>
        <w:spacing w:after="0"/>
        <w:jc w:val="center"/>
        <w:rPr>
          <w:rFonts w:ascii="Bradley Hand ITC" w:hAnsi="Bradley Hand ITC"/>
          <w:b/>
          <w:i/>
          <w:sz w:val="24"/>
          <w:szCs w:val="24"/>
        </w:rPr>
      </w:pPr>
    </w:p>
    <w:p w:rsidR="00013EF8" w:rsidRDefault="00013EF8" w:rsidP="00013EF8">
      <w:pPr>
        <w:spacing w:after="0"/>
        <w:jc w:val="center"/>
        <w:rPr>
          <w:rFonts w:ascii="Bradley Hand ITC" w:hAnsi="Bradley Hand ITC"/>
          <w:b/>
          <w:i/>
          <w:sz w:val="24"/>
          <w:szCs w:val="24"/>
        </w:rPr>
      </w:pPr>
      <w:r>
        <w:rPr>
          <w:rFonts w:ascii="Bradley Hand ITC" w:hAnsi="Bradley Hand ITC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762000" cy="447675"/>
            <wp:effectExtent l="19050" t="0" r="0" b="0"/>
            <wp:docPr id="1" name="Immagine 1" descr="C:\Documents and Settings\travers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avers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DDA" w:rsidRDefault="00D21DDA"/>
    <w:sectPr w:rsidR="00D21DDA" w:rsidSect="00D21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7079"/>
    <w:multiLevelType w:val="multilevel"/>
    <w:tmpl w:val="5B3C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81746"/>
    <w:multiLevelType w:val="multilevel"/>
    <w:tmpl w:val="570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F65E3"/>
    <w:rsid w:val="00013EF8"/>
    <w:rsid w:val="001F65E3"/>
    <w:rsid w:val="002D3C84"/>
    <w:rsid w:val="00710B6F"/>
    <w:rsid w:val="008647A4"/>
    <w:rsid w:val="009D1558"/>
    <w:rsid w:val="00D2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DDA"/>
  </w:style>
  <w:style w:type="paragraph" w:styleId="Titolo1">
    <w:name w:val="heading 1"/>
    <w:basedOn w:val="Normale"/>
    <w:next w:val="Normale"/>
    <w:link w:val="Titolo1Carattere"/>
    <w:uiPriority w:val="9"/>
    <w:qFormat/>
    <w:rsid w:val="001F6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F6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F65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F65E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F65E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F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65E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F65E3"/>
    <w:rPr>
      <w:color w:val="0000FF"/>
      <w:u w:val="single"/>
    </w:rPr>
  </w:style>
  <w:style w:type="character" w:customStyle="1" w:styleId="in-widget">
    <w:name w:val="in-widget"/>
    <w:basedOn w:val="Carpredefinitoparagrafo"/>
    <w:rsid w:val="001F65E3"/>
  </w:style>
  <w:style w:type="character" w:customStyle="1" w:styleId="in-right">
    <w:name w:val="in-right"/>
    <w:basedOn w:val="Carpredefinitoparagrafo"/>
    <w:rsid w:val="001F65E3"/>
  </w:style>
  <w:style w:type="character" w:customStyle="1" w:styleId="Titolo1Carattere">
    <w:name w:val="Titolo 1 Carattere"/>
    <w:basedOn w:val="Carpredefinitoparagrafo"/>
    <w:link w:val="Titolo1"/>
    <w:uiPriority w:val="9"/>
    <w:rsid w:val="001F6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6583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18" w:space="10" w:color="CCCCCC"/>
            <w:bottom w:val="none" w:sz="0" w:space="0" w:color="auto"/>
            <w:right w:val="none" w:sz="0" w:space="0" w:color="auto"/>
          </w:divBdr>
        </w:div>
        <w:div w:id="61410115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2802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2559">
                  <w:marLeft w:val="95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3" w:color="CCCCCC"/>
                    <w:bottom w:val="single" w:sz="6" w:space="0" w:color="CCCCCC"/>
                    <w:right w:val="single" w:sz="6" w:space="3" w:color="CCCCCC"/>
                  </w:divBdr>
                </w:div>
              </w:divsChild>
            </w:div>
            <w:div w:id="568615483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Traversa</dc:creator>
  <cp:lastModifiedBy>Traversa</cp:lastModifiedBy>
  <cp:revision>4</cp:revision>
  <dcterms:created xsi:type="dcterms:W3CDTF">2017-12-08T07:35:00Z</dcterms:created>
  <dcterms:modified xsi:type="dcterms:W3CDTF">2018-03-29T13:13:00Z</dcterms:modified>
</cp:coreProperties>
</file>