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53" w:rsidRPr="00E02853" w:rsidRDefault="00E02853" w:rsidP="00E02853">
      <w:pPr>
        <w:shd w:val="clear" w:color="auto" w:fill="FFFFFF"/>
        <w:spacing w:after="144" w:line="240" w:lineRule="auto"/>
        <w:jc w:val="center"/>
        <w:textAlignment w:val="baseline"/>
        <w:outlineLvl w:val="0"/>
        <w:rPr>
          <w:rFonts w:ascii="Open Sans" w:eastAsia="Times New Roman" w:hAnsi="Open Sans" w:cs="Open Sans"/>
          <w:b/>
          <w:bCs/>
          <w:color w:val="333333"/>
          <w:kern w:val="36"/>
          <w:sz w:val="28"/>
          <w:szCs w:val="28"/>
          <w:lang w:eastAsia="it-IT"/>
        </w:rPr>
      </w:pPr>
      <w:r w:rsidRPr="00E02853">
        <w:rPr>
          <w:rFonts w:ascii="Open Sans" w:eastAsia="Times New Roman" w:hAnsi="Open Sans" w:cs="Open Sans"/>
          <w:b/>
          <w:bCs/>
          <w:color w:val="333333"/>
          <w:kern w:val="36"/>
          <w:sz w:val="28"/>
          <w:szCs w:val="28"/>
          <w:lang w:eastAsia="it-IT"/>
        </w:rPr>
        <w:t>I collaboratori familiari nell’artigianato, nel commercio ed in agricoltura</w:t>
      </w:r>
    </w:p>
    <w:p w:rsidR="00D21DDA" w:rsidRDefault="00D21DDA"/>
    <w:p w:rsidR="00E02853" w:rsidRPr="00E02853" w:rsidRDefault="00E02853" w:rsidP="00E02853">
      <w:pPr>
        <w:shd w:val="clear" w:color="auto" w:fill="FFFFFF"/>
        <w:spacing w:line="240" w:lineRule="auto"/>
        <w:jc w:val="both"/>
        <w:textAlignment w:val="baseline"/>
        <w:rPr>
          <w:rFonts w:ascii="Georgia" w:eastAsia="Times New Roman" w:hAnsi="Georgia" w:cs="Times New Roman"/>
          <w:color w:val="333333"/>
          <w:sz w:val="23"/>
          <w:szCs w:val="23"/>
          <w:lang w:eastAsia="it-IT"/>
        </w:rPr>
      </w:pPr>
      <w:r w:rsidRPr="00E02853">
        <w:rPr>
          <w:rFonts w:ascii="Georgia" w:eastAsia="Times New Roman" w:hAnsi="Georgia" w:cs="Times New Roman"/>
          <w:color w:val="333333"/>
          <w:sz w:val="23"/>
          <w:szCs w:val="23"/>
          <w:lang w:eastAsia="it-IT"/>
        </w:rPr>
        <w:t>La nota di chiarimento dell’</w:t>
      </w:r>
      <w:hyperlink r:id="rId5" w:tgtFrame="_blank" w:history="1">
        <w:r w:rsidRPr="00E02853">
          <w:rPr>
            <w:rFonts w:ascii="Georgia" w:eastAsia="Times New Roman" w:hAnsi="Georgia" w:cs="Times New Roman"/>
            <w:b/>
            <w:color w:val="999999"/>
            <w:sz w:val="23"/>
            <w:lang w:eastAsia="it-IT"/>
          </w:rPr>
          <w:t>Ispettorato Nazionale del Lavoro n. 50 del 15 marzo 2018</w:t>
        </w:r>
      </w:hyperlink>
      <w:r w:rsidRPr="00E02853">
        <w:rPr>
          <w:rFonts w:ascii="Georgia" w:eastAsia="Times New Roman" w:hAnsi="Georgia" w:cs="Times New Roman"/>
          <w:color w:val="333333"/>
          <w:sz w:val="23"/>
          <w:szCs w:val="23"/>
          <w:lang w:eastAsia="it-IT"/>
        </w:rPr>
        <w:t> relativa ai collaboratori familiari nelle aziende che operano nei settori dell’artigianato, del commercio e dell’agricoltura, consente di effettuare una sorta di riassunto delle condizioni e delle modalità relative ad un loro legittimo utilizzo, alla luce anche degli indirizzi operativi, forniti, nel 2013, dalla Direzione Generale per l’Attività Ispettiva (ora confluita nell’INL).</w:t>
      </w:r>
    </w:p>
    <w:p w:rsidR="00E02853" w:rsidRPr="00E02853" w:rsidRDefault="00E02853" w:rsidP="00E02853">
      <w:pPr>
        <w:shd w:val="clear" w:color="auto" w:fill="FFFFFF"/>
        <w:spacing w:after="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color w:val="444444"/>
          <w:sz w:val="20"/>
          <w:szCs w:val="20"/>
          <w:lang w:eastAsia="it-IT"/>
        </w:rPr>
        <w:t>La nota appena richiamata, condivisa con le strutture dell’INPS e dell’INAIL, </w:t>
      </w:r>
      <w:r w:rsidRPr="00E02853">
        <w:rPr>
          <w:rFonts w:ascii="Open Sans" w:eastAsia="Times New Roman" w:hAnsi="Open Sans" w:cs="Open Sans"/>
          <w:b/>
          <w:bCs/>
          <w:color w:val="444444"/>
          <w:sz w:val="20"/>
          <w:lang w:eastAsia="it-IT"/>
        </w:rPr>
        <w:t>intende fornire ulteriori indicazioni operative sia agli ispettori del lavoro che a quelli degli Istituti previdenziali</w:t>
      </w:r>
      <w:r w:rsidRPr="00E02853">
        <w:rPr>
          <w:rFonts w:ascii="Open Sans" w:eastAsia="Times New Roman" w:hAnsi="Open Sans" w:cs="Open Sans"/>
          <w:color w:val="444444"/>
          <w:sz w:val="20"/>
          <w:szCs w:val="20"/>
          <w:lang w:eastAsia="it-IT"/>
        </w:rPr>
        <w:t> che operano all’interno del coordinamento delle singole strutture territoriali dell’Ispettorato, in ossequio alle previsioni contenute nel D.L.vo n. 149/2015 e nei successivi provvedimenti attuativi.</w:t>
      </w:r>
    </w:p>
    <w:p w:rsidR="00E02853" w:rsidRPr="00E02853" w:rsidRDefault="00E02853" w:rsidP="00E02853">
      <w:pPr>
        <w:shd w:val="clear" w:color="auto" w:fill="FFFFFF"/>
        <w:spacing w:after="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i/>
          <w:iCs/>
          <w:color w:val="444444"/>
          <w:sz w:val="20"/>
          <w:lang w:eastAsia="it-IT"/>
        </w:rPr>
        <w:t>Ma, cosa afferma, nel concreto, la lettera che si commenta?</w:t>
      </w:r>
    </w:p>
    <w:p w:rsidR="00E02853" w:rsidRPr="00E02853" w:rsidRDefault="00E02853" w:rsidP="00E02853">
      <w:pPr>
        <w:shd w:val="clear" w:color="auto" w:fill="FFFFFF"/>
        <w:spacing w:after="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color w:val="444444"/>
          <w:sz w:val="20"/>
          <w:szCs w:val="20"/>
          <w:lang w:eastAsia="it-IT"/>
        </w:rPr>
        <w:t>Ricorda, innanzitutto, come la posizione lavorativa dei </w:t>
      </w:r>
      <w:r w:rsidRPr="00E02853">
        <w:rPr>
          <w:rFonts w:ascii="Open Sans" w:eastAsia="Times New Roman" w:hAnsi="Open Sans" w:cs="Open Sans"/>
          <w:b/>
          <w:bCs/>
          <w:color w:val="444444"/>
          <w:sz w:val="20"/>
          <w:lang w:eastAsia="it-IT"/>
        </w:rPr>
        <w:t>collaboratori familiari</w:t>
      </w:r>
      <w:r w:rsidRPr="00E02853">
        <w:rPr>
          <w:rFonts w:ascii="Open Sans" w:eastAsia="Times New Roman" w:hAnsi="Open Sans" w:cs="Open Sans"/>
          <w:color w:val="444444"/>
          <w:sz w:val="20"/>
          <w:szCs w:val="20"/>
          <w:lang w:eastAsia="it-IT"/>
        </w:rPr>
        <w:t> (</w:t>
      </w:r>
      <w:r w:rsidRPr="00E02853">
        <w:rPr>
          <w:rFonts w:ascii="Open Sans" w:eastAsia="Times New Roman" w:hAnsi="Open Sans" w:cs="Open Sans"/>
          <w:i/>
          <w:iCs/>
          <w:color w:val="444444"/>
          <w:sz w:val="20"/>
          <w:lang w:eastAsia="it-IT"/>
        </w:rPr>
        <w:t>“ivi compreso il coniuge o l’altra persona dell’unione civile”</w:t>
      </w:r>
      <w:r w:rsidRPr="00E02853">
        <w:rPr>
          <w:rFonts w:ascii="Open Sans" w:eastAsia="Times New Roman" w:hAnsi="Open Sans" w:cs="Open Sans"/>
          <w:color w:val="444444"/>
          <w:sz w:val="20"/>
          <w:szCs w:val="20"/>
          <w:lang w:eastAsia="it-IT"/>
        </w:rPr>
        <w:t>) debba essere esaminata caso per caso, presentando </w:t>
      </w:r>
      <w:r w:rsidRPr="00E02853">
        <w:rPr>
          <w:rFonts w:ascii="Open Sans" w:eastAsia="Times New Roman" w:hAnsi="Open Sans" w:cs="Open Sans"/>
          <w:i/>
          <w:iCs/>
          <w:color w:val="444444"/>
          <w:sz w:val="20"/>
          <w:lang w:eastAsia="it-IT"/>
        </w:rPr>
        <w:t>“sfaccettature”</w:t>
      </w:r>
      <w:r w:rsidRPr="00E02853">
        <w:rPr>
          <w:rFonts w:ascii="Open Sans" w:eastAsia="Times New Roman" w:hAnsi="Open Sans" w:cs="Open Sans"/>
          <w:color w:val="444444"/>
          <w:sz w:val="20"/>
          <w:szCs w:val="20"/>
          <w:lang w:eastAsia="it-IT"/>
        </w:rPr>
        <w:t> diverse che non è possibile ricondurre ad un </w:t>
      </w:r>
      <w:r w:rsidRPr="00E02853">
        <w:rPr>
          <w:rFonts w:ascii="Open Sans" w:eastAsia="Times New Roman" w:hAnsi="Open Sans" w:cs="Open Sans"/>
          <w:i/>
          <w:iCs/>
          <w:color w:val="444444"/>
          <w:sz w:val="20"/>
          <w:lang w:eastAsia="it-IT"/>
        </w:rPr>
        <w:t>“unicum”</w:t>
      </w:r>
      <w:r w:rsidRPr="00E02853">
        <w:rPr>
          <w:rFonts w:ascii="Open Sans" w:eastAsia="Times New Roman" w:hAnsi="Open Sans" w:cs="Open Sans"/>
          <w:color w:val="444444"/>
          <w:sz w:val="20"/>
          <w:szCs w:val="20"/>
          <w:lang w:eastAsia="it-IT"/>
        </w:rPr>
        <w:t>.</w:t>
      </w:r>
    </w:p>
    <w:p w:rsidR="00E02853" w:rsidRPr="00E02853" w:rsidRDefault="00E02853" w:rsidP="00E02853">
      <w:pPr>
        <w:shd w:val="clear" w:color="auto" w:fill="FFFFFF"/>
        <w:spacing w:after="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color w:val="444444"/>
          <w:sz w:val="20"/>
          <w:szCs w:val="20"/>
          <w:lang w:eastAsia="it-IT"/>
        </w:rPr>
        <w:t>La prestazione lavorativa, per essere ricondotta all’interno della fattispecie che si sta esaminando, deve essere svolta, assolutamente, in forma gratuita, in forza del c.d. </w:t>
      </w:r>
      <w:r w:rsidRPr="00E02853">
        <w:rPr>
          <w:rFonts w:ascii="Open Sans" w:eastAsia="Times New Roman" w:hAnsi="Open Sans" w:cs="Open Sans"/>
          <w:i/>
          <w:iCs/>
          <w:color w:val="444444"/>
          <w:sz w:val="20"/>
          <w:lang w:eastAsia="it-IT"/>
        </w:rPr>
        <w:t>“vincolo di affezione od obbligazione morale”</w:t>
      </w:r>
      <w:r w:rsidRPr="00E02853">
        <w:rPr>
          <w:rFonts w:ascii="Open Sans" w:eastAsia="Times New Roman" w:hAnsi="Open Sans" w:cs="Open Sans"/>
          <w:color w:val="444444"/>
          <w:sz w:val="20"/>
          <w:szCs w:val="20"/>
          <w:lang w:eastAsia="it-IT"/>
        </w:rPr>
        <w:t>, come, ad esempio, chiaramente afferma l’art. 74 del </w:t>
      </w:r>
      <w:hyperlink r:id="rId6" w:tgtFrame="_blank" w:history="1">
        <w:r w:rsidRPr="00E02853">
          <w:rPr>
            <w:rFonts w:ascii="Open Sans" w:eastAsia="Times New Roman" w:hAnsi="Open Sans" w:cs="Open Sans"/>
            <w:color w:val="999999"/>
            <w:sz w:val="20"/>
            <w:lang w:eastAsia="it-IT"/>
          </w:rPr>
          <w:t>D.L.vo n. 276/2003</w:t>
        </w:r>
      </w:hyperlink>
      <w:r w:rsidRPr="00E02853">
        <w:rPr>
          <w:rFonts w:ascii="Open Sans" w:eastAsia="Times New Roman" w:hAnsi="Open Sans" w:cs="Open Sans"/>
          <w:color w:val="444444"/>
          <w:sz w:val="20"/>
          <w:szCs w:val="20"/>
          <w:lang w:eastAsia="it-IT"/>
        </w:rPr>
        <w:t xml:space="preserve"> il quale, a proposito delle prestazioni in agricoltura, richiama la </w:t>
      </w:r>
      <w:proofErr w:type="spellStart"/>
      <w:r w:rsidRPr="00E02853">
        <w:rPr>
          <w:rFonts w:ascii="Open Sans" w:eastAsia="Times New Roman" w:hAnsi="Open Sans" w:cs="Open Sans"/>
          <w:color w:val="444444"/>
          <w:sz w:val="20"/>
          <w:szCs w:val="20"/>
          <w:lang w:eastAsia="it-IT"/>
        </w:rPr>
        <w:t>occasionalità</w:t>
      </w:r>
      <w:proofErr w:type="spellEnd"/>
      <w:r w:rsidRPr="00E02853">
        <w:rPr>
          <w:rFonts w:ascii="Open Sans" w:eastAsia="Times New Roman" w:hAnsi="Open Sans" w:cs="Open Sans"/>
          <w:color w:val="444444"/>
          <w:sz w:val="20"/>
          <w:szCs w:val="20"/>
          <w:lang w:eastAsia="it-IT"/>
        </w:rPr>
        <w:t>, il breve periodo e, appunto, le definisce possibili, senza alcun compenso, a </w:t>
      </w:r>
      <w:r w:rsidRPr="00E02853">
        <w:rPr>
          <w:rFonts w:ascii="Open Sans" w:eastAsia="Times New Roman" w:hAnsi="Open Sans" w:cs="Open Sans"/>
          <w:i/>
          <w:iCs/>
          <w:color w:val="444444"/>
          <w:sz w:val="20"/>
          <w:lang w:eastAsia="it-IT"/>
        </w:rPr>
        <w:t>“titolo di aiuto, mutuo aiuto ed obbligazione morale”.</w:t>
      </w:r>
    </w:p>
    <w:p w:rsidR="00E02853" w:rsidRPr="00E02853" w:rsidRDefault="00E02853" w:rsidP="00E02853">
      <w:pPr>
        <w:shd w:val="clear" w:color="auto" w:fill="FFFFFF"/>
        <w:spacing w:after="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color w:val="444444"/>
          <w:sz w:val="20"/>
          <w:szCs w:val="20"/>
          <w:lang w:eastAsia="it-IT"/>
        </w:rPr>
        <w:t>Detto questo, la nota dell’Ispettorato ritiene che, </w:t>
      </w:r>
      <w:r w:rsidRPr="00E02853">
        <w:rPr>
          <w:rFonts w:ascii="Open Sans" w:eastAsia="Times New Roman" w:hAnsi="Open Sans" w:cs="Open Sans"/>
          <w:b/>
          <w:bCs/>
          <w:color w:val="444444"/>
          <w:sz w:val="20"/>
          <w:lang w:eastAsia="it-IT"/>
        </w:rPr>
        <w:t>la prestazione di un collaboratore familiare pensionato che non assicuri una presenza continuativa</w:t>
      </w:r>
      <w:r w:rsidRPr="00E02853">
        <w:rPr>
          <w:rFonts w:ascii="Open Sans" w:eastAsia="Times New Roman" w:hAnsi="Open Sans" w:cs="Open Sans"/>
          <w:color w:val="444444"/>
          <w:sz w:val="20"/>
          <w:szCs w:val="20"/>
          <w:lang w:eastAsia="it-IT"/>
        </w:rPr>
        <w:t> (i limiti massimi di durata furono ben esplicitati nelle lettera n. 10478 del 10 giugno 2013) o quella del familiare che già sia impiegato in una attività a tempo pieno, sia, in linea di massima, riconducibile a prestazioni di natura solidaristica, </w:t>
      </w:r>
      <w:r w:rsidRPr="00E02853">
        <w:rPr>
          <w:rFonts w:ascii="Open Sans" w:eastAsia="Times New Roman" w:hAnsi="Open Sans" w:cs="Open Sans"/>
          <w:b/>
          <w:bCs/>
          <w:color w:val="444444"/>
          <w:sz w:val="20"/>
          <w:lang w:eastAsia="it-IT"/>
        </w:rPr>
        <w:t>circoscritte nel tempo e, quindi, occasionali</w:t>
      </w:r>
      <w:r w:rsidRPr="00E02853">
        <w:rPr>
          <w:rFonts w:ascii="Open Sans" w:eastAsia="Times New Roman" w:hAnsi="Open Sans" w:cs="Open Sans"/>
          <w:color w:val="444444"/>
          <w:sz w:val="20"/>
          <w:szCs w:val="20"/>
          <w:lang w:eastAsia="it-IT"/>
        </w:rPr>
        <w:t>, cosa che, come conseguenza, comporta la “non iscrizione alla relativa gestione previdenziale”.</w:t>
      </w:r>
    </w:p>
    <w:p w:rsidR="00E02853" w:rsidRPr="00E02853" w:rsidRDefault="00E02853" w:rsidP="00E02853">
      <w:pPr>
        <w:shd w:val="clear" w:color="auto" w:fill="FFFFFF"/>
        <w:spacing w:after="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color w:val="444444"/>
          <w:sz w:val="20"/>
          <w:szCs w:val="20"/>
          <w:lang w:eastAsia="it-IT"/>
        </w:rPr>
        <w:t>Si tratta di un </w:t>
      </w:r>
      <w:r w:rsidRPr="00E02853">
        <w:rPr>
          <w:rFonts w:ascii="Open Sans" w:eastAsia="Times New Roman" w:hAnsi="Open Sans" w:cs="Open Sans"/>
          <w:i/>
          <w:iCs/>
          <w:color w:val="444444"/>
          <w:sz w:val="20"/>
          <w:lang w:eastAsia="it-IT"/>
        </w:rPr>
        <w:t>“indice di valutazione”</w:t>
      </w:r>
      <w:r w:rsidRPr="00E02853">
        <w:rPr>
          <w:rFonts w:ascii="Open Sans" w:eastAsia="Times New Roman" w:hAnsi="Open Sans" w:cs="Open Sans"/>
          <w:color w:val="444444"/>
          <w:sz w:val="20"/>
          <w:szCs w:val="20"/>
          <w:lang w:eastAsia="it-IT"/>
        </w:rPr>
        <w:t> per gli organi di vigilanza che si ricollega ai criteri legali individuati dal Legislatore per l’artigianato dall’art. 21, comma 6-ter, del D.L. n. 269/2003, convertito, con modificazioni, nella </w:t>
      </w:r>
      <w:hyperlink r:id="rId7" w:tgtFrame="_blank" w:history="1">
        <w:r w:rsidRPr="00E02853">
          <w:rPr>
            <w:rFonts w:ascii="Open Sans" w:eastAsia="Times New Roman" w:hAnsi="Open Sans" w:cs="Open Sans"/>
            <w:color w:val="999999"/>
            <w:sz w:val="20"/>
            <w:lang w:eastAsia="it-IT"/>
          </w:rPr>
          <w:t>legge n. 326</w:t>
        </w:r>
      </w:hyperlink>
      <w:r w:rsidRPr="00E02853">
        <w:rPr>
          <w:rFonts w:ascii="Open Sans" w:eastAsia="Times New Roman" w:hAnsi="Open Sans" w:cs="Open Sans"/>
          <w:color w:val="444444"/>
          <w:sz w:val="20"/>
          <w:szCs w:val="20"/>
          <w:lang w:eastAsia="it-IT"/>
        </w:rPr>
        <w:t> (90 giorni nell’anno), ove, in ogni caso, pur in presenza della assoluta gratuità, per i parenti e gli affini entro il terzo grado (anche se studenti), sussiste l’obbligo della iscrizione all’assicurazione obbligatoria contro gli infortuni e le malattie professionali ex DPR n. 1124/1965.</w:t>
      </w:r>
    </w:p>
    <w:p w:rsidR="00E02853" w:rsidRPr="00E02853" w:rsidRDefault="00E02853" w:rsidP="00E02853">
      <w:pPr>
        <w:shd w:val="clear" w:color="auto" w:fill="FFFFFF"/>
        <w:spacing w:line="240" w:lineRule="auto"/>
        <w:jc w:val="both"/>
        <w:textAlignment w:val="baseline"/>
        <w:rPr>
          <w:rFonts w:ascii="Georgia" w:eastAsia="Times New Roman" w:hAnsi="Georgia" w:cs="Times New Roman"/>
          <w:color w:val="333333"/>
          <w:sz w:val="23"/>
          <w:szCs w:val="23"/>
          <w:lang w:eastAsia="it-IT"/>
        </w:rPr>
      </w:pPr>
      <w:r w:rsidRPr="00E02853">
        <w:rPr>
          <w:rFonts w:ascii="Georgia" w:eastAsia="Times New Roman" w:hAnsi="Georgia" w:cs="Times New Roman"/>
          <w:color w:val="333333"/>
          <w:sz w:val="23"/>
          <w:szCs w:val="23"/>
          <w:lang w:eastAsia="it-IT"/>
        </w:rPr>
        <w:t>Un discorso analogo va fatto per il settore agricolo ove la previsione della obbligazione morale gratuita viene allargata ai parenti ed agli affini entro il quarto grado: essa è ben esplicitata nell’art. 74 del </w:t>
      </w:r>
      <w:hyperlink r:id="rId8" w:tgtFrame="_blank" w:history="1">
        <w:r w:rsidRPr="00E02853">
          <w:rPr>
            <w:rFonts w:ascii="Georgia" w:eastAsia="Times New Roman" w:hAnsi="Georgia" w:cs="Times New Roman"/>
            <w:color w:val="999999"/>
            <w:sz w:val="23"/>
            <w:lang w:eastAsia="it-IT"/>
          </w:rPr>
          <w:t>D.L.vo n. 276/2003</w:t>
        </w:r>
      </w:hyperlink>
      <w:r w:rsidRPr="00E02853">
        <w:rPr>
          <w:rFonts w:ascii="Georgia" w:eastAsia="Times New Roman" w:hAnsi="Georgia" w:cs="Times New Roman"/>
          <w:color w:val="333333"/>
          <w:sz w:val="23"/>
          <w:szCs w:val="23"/>
          <w:lang w:eastAsia="it-IT"/>
        </w:rPr>
        <w:t> sopra richiamato.</w:t>
      </w:r>
    </w:p>
    <w:p w:rsidR="00E02853" w:rsidRPr="00E02853" w:rsidRDefault="00E02853" w:rsidP="00E02853">
      <w:pPr>
        <w:shd w:val="clear" w:color="auto" w:fill="FFFFFF"/>
        <w:spacing w:after="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color w:val="444444"/>
          <w:sz w:val="20"/>
          <w:szCs w:val="20"/>
          <w:lang w:eastAsia="it-IT"/>
        </w:rPr>
        <w:t>Leggermente diverso, come aveva sottolineato, a suo tempo, la nota ministeriale del 10 giugno 2013, è il discorso relativo al settore del commercio ove, però, può, legittimamente, essere richiamato l’art. 29 della </w:t>
      </w:r>
      <w:hyperlink r:id="rId9" w:tgtFrame="_blank" w:history="1">
        <w:r w:rsidRPr="00E02853">
          <w:rPr>
            <w:rFonts w:ascii="Open Sans" w:eastAsia="Times New Roman" w:hAnsi="Open Sans" w:cs="Open Sans"/>
            <w:color w:val="999999"/>
            <w:sz w:val="20"/>
            <w:lang w:eastAsia="it-IT"/>
          </w:rPr>
          <w:t>legge n. 160/1975</w:t>
        </w:r>
      </w:hyperlink>
      <w:r w:rsidRPr="00E02853">
        <w:rPr>
          <w:rFonts w:ascii="Open Sans" w:eastAsia="Times New Roman" w:hAnsi="Open Sans" w:cs="Open Sans"/>
          <w:color w:val="444444"/>
          <w:sz w:val="20"/>
          <w:szCs w:val="20"/>
          <w:lang w:eastAsia="it-IT"/>
        </w:rPr>
        <w:t>, modificato dalla legge finanziaria n. 662/1996 ove si afferma che </w:t>
      </w:r>
      <w:r w:rsidRPr="00E02853">
        <w:rPr>
          <w:rFonts w:ascii="Open Sans" w:eastAsia="Times New Roman" w:hAnsi="Open Sans" w:cs="Open Sans"/>
          <w:b/>
          <w:bCs/>
          <w:color w:val="444444"/>
          <w:sz w:val="20"/>
          <w:lang w:eastAsia="it-IT"/>
        </w:rPr>
        <w:t>l’iscrizione alla gestione assicurativa degli esercenti attività commerciali, sussiste per i titolari ed i gestori delle imprese, a prescindere dal numero dei dipendenti</w:t>
      </w:r>
      <w:r w:rsidRPr="00E02853">
        <w:rPr>
          <w:rFonts w:ascii="Open Sans" w:eastAsia="Times New Roman" w:hAnsi="Open Sans" w:cs="Open Sans"/>
          <w:color w:val="444444"/>
          <w:sz w:val="20"/>
          <w:szCs w:val="20"/>
          <w:lang w:eastAsia="it-IT"/>
        </w:rPr>
        <w:t>, allorquando le aziende siano organizzate con il loro lavoro e con quello dei familiari, compresi i parenti e gli affini entro i terzo grado, o familiari e coadiutori che partecipino personalmente al lavoro aziendale con abitualità e prevalenza. </w:t>
      </w:r>
      <w:r w:rsidRPr="00E02853">
        <w:rPr>
          <w:rFonts w:ascii="Open Sans" w:eastAsia="Times New Roman" w:hAnsi="Open Sans" w:cs="Open Sans"/>
          <w:b/>
          <w:bCs/>
          <w:color w:val="444444"/>
          <w:sz w:val="20"/>
          <w:lang w:eastAsia="it-IT"/>
        </w:rPr>
        <w:t xml:space="preserve">Ovviamente, anche in questo caso, la caratteristica esimente dalla iscrizione presso l’INPS è rappresentata dalla gratuità e dalla </w:t>
      </w:r>
      <w:proofErr w:type="spellStart"/>
      <w:r w:rsidRPr="00E02853">
        <w:rPr>
          <w:rFonts w:ascii="Open Sans" w:eastAsia="Times New Roman" w:hAnsi="Open Sans" w:cs="Open Sans"/>
          <w:b/>
          <w:bCs/>
          <w:color w:val="444444"/>
          <w:sz w:val="20"/>
          <w:lang w:eastAsia="it-IT"/>
        </w:rPr>
        <w:t>occasionalità</w:t>
      </w:r>
      <w:proofErr w:type="spellEnd"/>
      <w:r w:rsidRPr="00E02853">
        <w:rPr>
          <w:rFonts w:ascii="Open Sans" w:eastAsia="Times New Roman" w:hAnsi="Open Sans" w:cs="Open Sans"/>
          <w:b/>
          <w:bCs/>
          <w:color w:val="444444"/>
          <w:sz w:val="20"/>
          <w:lang w:eastAsia="it-IT"/>
        </w:rPr>
        <w:t xml:space="preserve"> la quale prendendo quale riferimento temporale quello espresso per il settore artigiano viene ricondotta, a 90 giorni, intesi come frazionabili in ore, ossia 720 giorni nell’anno solare.</w:t>
      </w:r>
    </w:p>
    <w:p w:rsidR="00E02853" w:rsidRPr="00E02853" w:rsidRDefault="00E02853" w:rsidP="00E02853">
      <w:pPr>
        <w:shd w:val="clear" w:color="auto" w:fill="FFFFFF"/>
        <w:spacing w:after="36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color w:val="444444"/>
          <w:sz w:val="20"/>
          <w:szCs w:val="20"/>
          <w:lang w:eastAsia="it-IT"/>
        </w:rPr>
        <w:lastRenderedPageBreak/>
        <w:t xml:space="preserve">Da quanto appena detto discende che, pur nel caso del superamento del limite giornaliero, la prestazione del familiare rientri nella </w:t>
      </w:r>
      <w:proofErr w:type="spellStart"/>
      <w:r w:rsidRPr="00E02853">
        <w:rPr>
          <w:rFonts w:ascii="Open Sans" w:eastAsia="Times New Roman" w:hAnsi="Open Sans" w:cs="Open Sans"/>
          <w:color w:val="444444"/>
          <w:sz w:val="20"/>
          <w:szCs w:val="20"/>
          <w:lang w:eastAsia="it-IT"/>
        </w:rPr>
        <w:t>occasionalità</w:t>
      </w:r>
      <w:proofErr w:type="spellEnd"/>
      <w:r w:rsidRPr="00E02853">
        <w:rPr>
          <w:rFonts w:ascii="Open Sans" w:eastAsia="Times New Roman" w:hAnsi="Open Sans" w:cs="Open Sans"/>
          <w:color w:val="444444"/>
          <w:sz w:val="20"/>
          <w:szCs w:val="20"/>
          <w:lang w:eastAsia="it-IT"/>
        </w:rPr>
        <w:t xml:space="preserve"> se resta, comunque, all’interno del tetto orario (720 ore).</w:t>
      </w:r>
    </w:p>
    <w:p w:rsidR="00E02853" w:rsidRPr="00E02853" w:rsidRDefault="00E02853" w:rsidP="00E02853">
      <w:pPr>
        <w:shd w:val="clear" w:color="auto" w:fill="FFFFFF"/>
        <w:spacing w:after="36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color w:val="444444"/>
          <w:sz w:val="20"/>
          <w:szCs w:val="20"/>
          <w:lang w:eastAsia="it-IT"/>
        </w:rPr>
        <w:t>Ma, questo tetto massimo come si raccorda con le attività di natura stagionale nel settore turistico, ove le imprese sono operative soltanto in alcuni periodi dell’anno?  E’ sempre lo stesso o va rapportato alla durata dell’attività?</w:t>
      </w:r>
    </w:p>
    <w:p w:rsidR="00E02853" w:rsidRPr="00E02853" w:rsidRDefault="00E02853" w:rsidP="00E02853">
      <w:pPr>
        <w:shd w:val="clear" w:color="auto" w:fill="FFFFFF"/>
        <w:spacing w:line="240" w:lineRule="auto"/>
        <w:jc w:val="both"/>
        <w:textAlignment w:val="baseline"/>
        <w:rPr>
          <w:rFonts w:ascii="Georgia" w:eastAsia="Times New Roman" w:hAnsi="Georgia" w:cs="Times New Roman"/>
          <w:color w:val="333333"/>
          <w:sz w:val="23"/>
          <w:szCs w:val="23"/>
          <w:lang w:eastAsia="it-IT"/>
        </w:rPr>
      </w:pPr>
      <w:r w:rsidRPr="00E02853">
        <w:rPr>
          <w:rFonts w:ascii="Georgia" w:eastAsia="Times New Roman" w:hAnsi="Georgia" w:cs="Times New Roman"/>
          <w:color w:val="333333"/>
          <w:sz w:val="23"/>
          <w:szCs w:val="23"/>
          <w:lang w:eastAsia="it-IT"/>
        </w:rPr>
        <w:t>La risposta, chiara, ce la fornisce la nota n. 50 allorquando afferma che i 90 giorni nell’anno vanno riparametrati in relazione alla durata dell’attività stagionale: se questa, ad esempio, dura 3 mesi, i giorni rispetto ai quali va considerata l’</w:t>
      </w:r>
      <w:proofErr w:type="spellStart"/>
      <w:r w:rsidRPr="00E02853">
        <w:rPr>
          <w:rFonts w:ascii="Georgia" w:eastAsia="Times New Roman" w:hAnsi="Georgia" w:cs="Times New Roman"/>
          <w:color w:val="333333"/>
          <w:sz w:val="23"/>
          <w:szCs w:val="23"/>
          <w:lang w:eastAsia="it-IT"/>
        </w:rPr>
        <w:t>occasionalità</w:t>
      </w:r>
      <w:proofErr w:type="spellEnd"/>
      <w:r w:rsidRPr="00E02853">
        <w:rPr>
          <w:rFonts w:ascii="Georgia" w:eastAsia="Times New Roman" w:hAnsi="Georgia" w:cs="Times New Roman"/>
          <w:color w:val="333333"/>
          <w:sz w:val="23"/>
          <w:szCs w:val="23"/>
          <w:lang w:eastAsia="it-IT"/>
        </w:rPr>
        <w:t>, sono 22 (il tutto è frutto di una semplice operazione matematica 90:365×90=22).</w:t>
      </w:r>
    </w:p>
    <w:p w:rsidR="00E02853" w:rsidRPr="00E02853" w:rsidRDefault="00E02853" w:rsidP="00E02853">
      <w:pPr>
        <w:shd w:val="clear" w:color="auto" w:fill="FFFFFF"/>
        <w:spacing w:after="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i/>
          <w:iCs/>
          <w:color w:val="444444"/>
          <w:sz w:val="20"/>
          <w:lang w:eastAsia="it-IT"/>
        </w:rPr>
        <w:t>Ma, cosa sono la parentela e l’affinità, con i relativi gradi, che consentono di far considerare taluni soggetti come collaboratori familiari?</w:t>
      </w:r>
    </w:p>
    <w:p w:rsidR="00E02853" w:rsidRPr="00E02853" w:rsidRDefault="00E02853" w:rsidP="00E02853">
      <w:pPr>
        <w:shd w:val="clear" w:color="auto" w:fill="FFFFFF"/>
        <w:spacing w:after="36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color w:val="444444"/>
          <w:sz w:val="20"/>
          <w:szCs w:val="20"/>
          <w:lang w:eastAsia="it-IT"/>
        </w:rPr>
        <w:t>La parentela è il vincolo che lega le persone che discendono dallo stesso stipite, mentre l’affinità è il vincolo che unisce un coniuge ai parenti dell’altro coniuge.</w:t>
      </w:r>
    </w:p>
    <w:p w:rsidR="00E02853" w:rsidRPr="00E02853" w:rsidRDefault="00E02853" w:rsidP="00E02853">
      <w:pPr>
        <w:shd w:val="clear" w:color="auto" w:fill="FFFFFF"/>
        <w:spacing w:after="36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color w:val="444444"/>
          <w:sz w:val="20"/>
          <w:szCs w:val="20"/>
          <w:lang w:eastAsia="it-IT"/>
        </w:rPr>
        <w:t>I parenti di primo grado sono i genitori ed i figli, quelli di secondo, i nonni, i fratelli, le sorelle ed i nipoti che siano figli dei figli, quelli di terzo, i bisnonni e gli zii, i nipoti (figli di fratelli e sorelle) ed i pronipoti (figli dei nipoti di secondo grado).</w:t>
      </w:r>
    </w:p>
    <w:p w:rsidR="00E02853" w:rsidRPr="00E02853" w:rsidRDefault="00E02853" w:rsidP="00E02853">
      <w:pPr>
        <w:shd w:val="clear" w:color="auto" w:fill="FFFFFF"/>
        <w:spacing w:after="36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color w:val="444444"/>
          <w:sz w:val="20"/>
          <w:szCs w:val="20"/>
          <w:lang w:eastAsia="it-IT"/>
        </w:rPr>
        <w:t>Gli affini di primo grado sono i suoceri, quelli di secondo i nonni del coniuge ed i cognati, quelli del terzo, i bisnonni del coniuge, gli zii del coniuge ed i nipoti, ossia i figli dei cognati.</w:t>
      </w:r>
    </w:p>
    <w:p w:rsidR="00E02853" w:rsidRPr="00E02853" w:rsidRDefault="00E02853" w:rsidP="00E02853">
      <w:pPr>
        <w:shd w:val="clear" w:color="auto" w:fill="FFFFFF"/>
        <w:spacing w:after="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i/>
          <w:iCs/>
          <w:color w:val="444444"/>
          <w:sz w:val="20"/>
          <w:lang w:eastAsia="it-IT"/>
        </w:rPr>
        <w:t>Ma, a quale soggetto imprenditoriale va riferito il vincolo coniugale, di parentela o di affinità?</w:t>
      </w:r>
    </w:p>
    <w:p w:rsidR="00E02853" w:rsidRPr="00E02853" w:rsidRDefault="00E02853" w:rsidP="00E02853">
      <w:pPr>
        <w:shd w:val="clear" w:color="auto" w:fill="FFFFFF"/>
        <w:spacing w:after="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color w:val="444444"/>
          <w:sz w:val="20"/>
          <w:szCs w:val="20"/>
          <w:lang w:eastAsia="it-IT"/>
        </w:rPr>
        <w:t>L’analisi (ne è ben conscia la nota ministeriale del 2013) può presentare, talora, alcune criticità: in linea di massima l’obbligo contributivo è in capo sia all’imprenditore individuale che a quello associato, qualunque sia la forma societaria (personale, in accomandita o a responsabilità limitata) come, ad esempio, per il settore artigiano, ricorda l’INPS con alcuni chiarimenti amministrativi espressi in passato (</w:t>
      </w:r>
      <w:hyperlink r:id="rId10" w:tgtFrame="_blank" w:history="1">
        <w:r w:rsidRPr="00E02853">
          <w:rPr>
            <w:rFonts w:ascii="Open Sans" w:eastAsia="Times New Roman" w:hAnsi="Open Sans" w:cs="Open Sans"/>
            <w:color w:val="999999"/>
            <w:sz w:val="20"/>
            <w:lang w:eastAsia="it-IT"/>
          </w:rPr>
          <w:t>circolari n. 94/1987</w:t>
        </w:r>
      </w:hyperlink>
      <w:r w:rsidRPr="00E02853">
        <w:rPr>
          <w:rFonts w:ascii="Open Sans" w:eastAsia="Times New Roman" w:hAnsi="Open Sans" w:cs="Open Sans"/>
          <w:color w:val="444444"/>
          <w:sz w:val="20"/>
          <w:szCs w:val="20"/>
          <w:lang w:eastAsia="it-IT"/>
        </w:rPr>
        <w:t>, </w:t>
      </w:r>
      <w:hyperlink r:id="rId11" w:tgtFrame="_blank" w:history="1">
        <w:r w:rsidRPr="00E02853">
          <w:rPr>
            <w:rFonts w:ascii="Open Sans" w:eastAsia="Times New Roman" w:hAnsi="Open Sans" w:cs="Open Sans"/>
            <w:color w:val="999999"/>
            <w:sz w:val="20"/>
            <w:lang w:eastAsia="it-IT"/>
          </w:rPr>
          <w:t>n. 126/1997</w:t>
        </w:r>
      </w:hyperlink>
      <w:r w:rsidRPr="00E02853">
        <w:rPr>
          <w:rFonts w:ascii="Open Sans" w:eastAsia="Times New Roman" w:hAnsi="Open Sans" w:cs="Open Sans"/>
          <w:color w:val="444444"/>
          <w:sz w:val="20"/>
          <w:szCs w:val="20"/>
          <w:lang w:eastAsia="it-IT"/>
        </w:rPr>
        <w:t> e </w:t>
      </w:r>
      <w:hyperlink r:id="rId12" w:tgtFrame="_blank" w:history="1">
        <w:r w:rsidRPr="00E02853">
          <w:rPr>
            <w:rFonts w:ascii="Open Sans" w:eastAsia="Times New Roman" w:hAnsi="Open Sans" w:cs="Open Sans"/>
            <w:color w:val="999999"/>
            <w:sz w:val="20"/>
            <w:lang w:eastAsia="it-IT"/>
          </w:rPr>
          <w:t>n. 179/1997</w:t>
        </w:r>
      </w:hyperlink>
      <w:r w:rsidRPr="00E02853">
        <w:rPr>
          <w:rFonts w:ascii="Open Sans" w:eastAsia="Times New Roman" w:hAnsi="Open Sans" w:cs="Open Sans"/>
          <w:color w:val="444444"/>
          <w:sz w:val="20"/>
          <w:szCs w:val="20"/>
          <w:lang w:eastAsia="it-IT"/>
        </w:rPr>
        <w:t>). In agricoltura al questione appare leggermente diversa in quanto occorre far riferimento alle figure del coltivatore diretto, del colono, del mezzadro e dell’imprenditore agricolo professionale.</w:t>
      </w:r>
    </w:p>
    <w:p w:rsidR="00E02853" w:rsidRPr="00E02853" w:rsidRDefault="00E02853" w:rsidP="00E02853">
      <w:pPr>
        <w:shd w:val="clear" w:color="auto" w:fill="FFFFFF"/>
        <w:spacing w:after="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color w:val="444444"/>
          <w:sz w:val="20"/>
          <w:szCs w:val="20"/>
          <w:lang w:eastAsia="it-IT"/>
        </w:rPr>
        <w:t>Tornando agli indici sopra definiti va detto che gli stessi debbono ispirare sia l’azione degli organi di vigilanza che quella dei Capi </w:t>
      </w:r>
      <w:r w:rsidRPr="00E02853">
        <w:rPr>
          <w:rFonts w:ascii="Open Sans" w:eastAsia="Times New Roman" w:hAnsi="Open Sans" w:cs="Open Sans"/>
          <w:b/>
          <w:bCs/>
          <w:color w:val="444444"/>
          <w:sz w:val="20"/>
          <w:lang w:eastAsia="it-IT"/>
        </w:rPr>
        <w:t>chiamati ad adottare i provvedimenti definitivi sia di carattere sanzionatorio, attraverso l’ordinanza-ingiunzione, che destinati al recupero della contribuzione obbligatoria</w:t>
      </w:r>
      <w:r w:rsidRPr="00E02853">
        <w:rPr>
          <w:rFonts w:ascii="Open Sans" w:eastAsia="Times New Roman" w:hAnsi="Open Sans" w:cs="Open Sans"/>
          <w:color w:val="444444"/>
          <w:sz w:val="20"/>
          <w:szCs w:val="20"/>
          <w:lang w:eastAsia="it-IT"/>
        </w:rPr>
        <w:t> (la nota del giugno 2013 afferma che il mancato rispetto delle istruzioni adottate può avere conseguenze sotto il profilo disciplinare e per il Dirigente dell’Ispettorato territoriale può aver rilevanza nella valutazione individuale del comportamento organizzativo).</w:t>
      </w:r>
    </w:p>
    <w:p w:rsidR="00E02853" w:rsidRPr="00E02853" w:rsidRDefault="00E02853" w:rsidP="00E02853">
      <w:pPr>
        <w:shd w:val="clear" w:color="auto" w:fill="FFFFFF"/>
        <w:spacing w:after="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color w:val="444444"/>
          <w:sz w:val="20"/>
          <w:szCs w:val="20"/>
          <w:lang w:eastAsia="it-IT"/>
        </w:rPr>
        <w:t xml:space="preserve">Ovviamente gli indici restano tali, nel senso che non hanno alcuna caratteristica di </w:t>
      </w:r>
      <w:proofErr w:type="spellStart"/>
      <w:r w:rsidRPr="00E02853">
        <w:rPr>
          <w:rFonts w:ascii="Open Sans" w:eastAsia="Times New Roman" w:hAnsi="Open Sans" w:cs="Open Sans"/>
          <w:color w:val="444444"/>
          <w:sz w:val="20"/>
          <w:szCs w:val="20"/>
          <w:lang w:eastAsia="it-IT"/>
        </w:rPr>
        <w:t>definitività</w:t>
      </w:r>
      <w:proofErr w:type="spellEnd"/>
      <w:r w:rsidRPr="00E02853">
        <w:rPr>
          <w:rFonts w:ascii="Open Sans" w:eastAsia="Times New Roman" w:hAnsi="Open Sans" w:cs="Open Sans"/>
          <w:color w:val="444444"/>
          <w:sz w:val="20"/>
          <w:szCs w:val="20"/>
          <w:lang w:eastAsia="it-IT"/>
        </w:rPr>
        <w:t>: </w:t>
      </w:r>
      <w:r w:rsidRPr="00E02853">
        <w:rPr>
          <w:rFonts w:ascii="Open Sans" w:eastAsia="Times New Roman" w:hAnsi="Open Sans" w:cs="Open Sans"/>
          <w:b/>
          <w:bCs/>
          <w:color w:val="444444"/>
          <w:sz w:val="20"/>
          <w:lang w:eastAsia="it-IT"/>
        </w:rPr>
        <w:t>ciò significa che se l’ispettore raggiunge</w:t>
      </w:r>
      <w:r w:rsidRPr="00E02853">
        <w:rPr>
          <w:rFonts w:ascii="Open Sans" w:eastAsia="Times New Roman" w:hAnsi="Open Sans" w:cs="Open Sans"/>
          <w:color w:val="444444"/>
          <w:sz w:val="20"/>
          <w:szCs w:val="20"/>
          <w:lang w:eastAsia="it-IT"/>
        </w:rPr>
        <w:t>, dopo un accertamento rigoroso, sulla base della documentazione e delle dichiarazioni acquisite, </w:t>
      </w:r>
      <w:r w:rsidRPr="00E02853">
        <w:rPr>
          <w:rFonts w:ascii="Open Sans" w:eastAsia="Times New Roman" w:hAnsi="Open Sans" w:cs="Open Sans"/>
          <w:b/>
          <w:bCs/>
          <w:color w:val="444444"/>
          <w:sz w:val="20"/>
          <w:lang w:eastAsia="it-IT"/>
        </w:rPr>
        <w:t>la prova della sussistenza di un rapporto di lavoro che vada ben oltre il </w:t>
      </w:r>
      <w:r w:rsidRPr="00E02853">
        <w:rPr>
          <w:rFonts w:ascii="Open Sans" w:eastAsia="Times New Roman" w:hAnsi="Open Sans" w:cs="Open Sans"/>
          <w:b/>
          <w:bCs/>
          <w:i/>
          <w:iCs/>
          <w:color w:val="444444"/>
          <w:sz w:val="20"/>
          <w:lang w:eastAsia="it-IT"/>
        </w:rPr>
        <w:t>“vincolo di affezione”</w:t>
      </w:r>
      <w:r w:rsidRPr="00E02853">
        <w:rPr>
          <w:rFonts w:ascii="Open Sans" w:eastAsia="Times New Roman" w:hAnsi="Open Sans" w:cs="Open Sans"/>
          <w:color w:val="444444"/>
          <w:sz w:val="20"/>
          <w:szCs w:val="20"/>
          <w:lang w:eastAsia="it-IT"/>
        </w:rPr>
        <w:t>, dovrà effettuare una ricostruzione puntuale della situazione tale da </w:t>
      </w:r>
      <w:r w:rsidRPr="00E02853">
        <w:rPr>
          <w:rFonts w:ascii="Open Sans" w:eastAsia="Times New Roman" w:hAnsi="Open Sans" w:cs="Open Sans"/>
          <w:i/>
          <w:iCs/>
          <w:color w:val="444444"/>
          <w:sz w:val="20"/>
          <w:lang w:eastAsia="it-IT"/>
        </w:rPr>
        <w:t>“reggere”</w:t>
      </w:r>
      <w:r w:rsidRPr="00E02853">
        <w:rPr>
          <w:rFonts w:ascii="Open Sans" w:eastAsia="Times New Roman" w:hAnsi="Open Sans" w:cs="Open Sans"/>
          <w:color w:val="444444"/>
          <w:sz w:val="20"/>
          <w:szCs w:val="20"/>
          <w:lang w:eastAsia="it-IT"/>
        </w:rPr>
        <w:t> a possibili contestazioni della controparte e giungere ad una ricostruzione del rapporto in termini di prestazione lavorativa con le caratteristiche della abitualità o della prevalenza.</w:t>
      </w:r>
    </w:p>
    <w:p w:rsidR="00E02853" w:rsidRPr="00E02853" w:rsidRDefault="00E02853" w:rsidP="00E02853">
      <w:pPr>
        <w:shd w:val="clear" w:color="auto" w:fill="FFFFFF"/>
        <w:spacing w:line="240" w:lineRule="auto"/>
        <w:jc w:val="both"/>
        <w:textAlignment w:val="baseline"/>
        <w:rPr>
          <w:rFonts w:ascii="Georgia" w:eastAsia="Times New Roman" w:hAnsi="Georgia" w:cs="Times New Roman"/>
          <w:color w:val="333333"/>
          <w:sz w:val="23"/>
          <w:szCs w:val="23"/>
          <w:lang w:eastAsia="it-IT"/>
        </w:rPr>
      </w:pPr>
      <w:r w:rsidRPr="00E02853">
        <w:rPr>
          <w:rFonts w:ascii="Georgia" w:eastAsia="Times New Roman" w:hAnsi="Georgia" w:cs="Times New Roman"/>
          <w:color w:val="333333"/>
          <w:sz w:val="23"/>
          <w:szCs w:val="23"/>
          <w:lang w:eastAsia="it-IT"/>
        </w:rPr>
        <w:t>Il discorso è, in un certo senso, analogo (pur se va invertito) per quelle ipotesi in cui il familiare collaboratore sia stato inquadrato con alcune tipologie contrattuali come, ad esempio, il rapporto di lavoro subordinato.</w:t>
      </w:r>
    </w:p>
    <w:p w:rsidR="00E02853" w:rsidRPr="00E02853" w:rsidRDefault="00E02853" w:rsidP="00E02853">
      <w:pPr>
        <w:shd w:val="clear" w:color="auto" w:fill="FFFFFF"/>
        <w:spacing w:after="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b/>
          <w:bCs/>
          <w:color w:val="444444"/>
          <w:sz w:val="20"/>
          <w:lang w:eastAsia="it-IT"/>
        </w:rPr>
        <w:lastRenderedPageBreak/>
        <w:t>Non c’è alcun divieto generale ma è chiaro che gli organi di vigilanza dovranno effettuare approfondimenti particolari</w:t>
      </w:r>
      <w:r w:rsidRPr="00E02853">
        <w:rPr>
          <w:rFonts w:ascii="Open Sans" w:eastAsia="Times New Roman" w:hAnsi="Open Sans" w:cs="Open Sans"/>
          <w:color w:val="444444"/>
          <w:sz w:val="20"/>
          <w:szCs w:val="20"/>
          <w:lang w:eastAsia="it-IT"/>
        </w:rPr>
        <w:t> (ad esempio, verificare se nella gestione del contratto di lavoro subordinato con il familiare vengono rispettati “in toto” tutti gli istituti tipici come il rispetto dell’orario di lavoro, dei riposi, delle ferie, dei controlli in caso di malattia, delle procedure disciplinari, ecc.).</w:t>
      </w:r>
    </w:p>
    <w:p w:rsidR="00E02853" w:rsidRPr="00E02853" w:rsidRDefault="00E02853" w:rsidP="00E02853">
      <w:pPr>
        <w:shd w:val="clear" w:color="auto" w:fill="FFFFFF"/>
        <w:spacing w:after="36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color w:val="444444"/>
          <w:sz w:val="20"/>
          <w:szCs w:val="20"/>
          <w:lang w:eastAsia="it-IT"/>
        </w:rPr>
        <w:t>La questione appena evidenziata non è affatto secondaria sol che si pensi ad ipotesi particolari come, ad esempio, l’iscrizione all’INPS in coincidenza con una gravidanza.</w:t>
      </w:r>
    </w:p>
    <w:p w:rsidR="00E02853" w:rsidRPr="00E02853" w:rsidRDefault="00E02853" w:rsidP="00E02853">
      <w:pPr>
        <w:shd w:val="clear" w:color="auto" w:fill="FFFFFF"/>
        <w:spacing w:after="36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color w:val="444444"/>
          <w:sz w:val="20"/>
          <w:szCs w:val="20"/>
          <w:lang w:eastAsia="it-IT"/>
        </w:rPr>
        <w:t>Ovviamente nel caso in cui, dopo un attento esame analitico con verifica documentale e testimoniale, si dovesse giungere al disconoscimento del rapporto, ciò potrà avvenire in assoluta tranquillità.</w:t>
      </w:r>
    </w:p>
    <w:p w:rsidR="00E02853" w:rsidRPr="00E02853" w:rsidRDefault="00E02853" w:rsidP="00E02853">
      <w:pPr>
        <w:shd w:val="clear" w:color="auto" w:fill="FFFFFF"/>
        <w:spacing w:after="36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color w:val="444444"/>
          <w:sz w:val="20"/>
          <w:szCs w:val="20"/>
          <w:lang w:eastAsia="it-IT"/>
        </w:rPr>
        <w:t>Quanto appena detto riguarda, sostanzialmente, i rapporti con l’INPS.</w:t>
      </w:r>
    </w:p>
    <w:p w:rsidR="00E02853" w:rsidRPr="00E02853" w:rsidRDefault="00E02853" w:rsidP="00E02853">
      <w:pPr>
        <w:shd w:val="clear" w:color="auto" w:fill="FFFFFF"/>
        <w:spacing w:line="240" w:lineRule="auto"/>
        <w:jc w:val="both"/>
        <w:textAlignment w:val="baseline"/>
        <w:rPr>
          <w:rFonts w:ascii="Georgia" w:eastAsia="Times New Roman" w:hAnsi="Georgia" w:cs="Times New Roman"/>
          <w:color w:val="333333"/>
          <w:sz w:val="23"/>
          <w:szCs w:val="23"/>
          <w:lang w:eastAsia="it-IT"/>
        </w:rPr>
      </w:pPr>
      <w:r w:rsidRPr="00E02853">
        <w:rPr>
          <w:rFonts w:ascii="Georgia" w:eastAsia="Times New Roman" w:hAnsi="Georgia" w:cs="Times New Roman"/>
          <w:color w:val="333333"/>
          <w:sz w:val="23"/>
          <w:szCs w:val="23"/>
          <w:lang w:eastAsia="it-IT"/>
        </w:rPr>
        <w:t>Completamente diverso è il discorso relativo agli obblighi assicurativi nei confronti dell’INAIL che scattano allorquando, a prescindere dal settore di operatività, la prestazione abbia una natura ricorrente e non occasionale. La </w:t>
      </w:r>
      <w:hyperlink r:id="rId13" w:tgtFrame="_blank" w:history="1">
        <w:r w:rsidRPr="00E02853">
          <w:rPr>
            <w:rFonts w:ascii="Georgia" w:eastAsia="Times New Roman" w:hAnsi="Georgia" w:cs="Times New Roman"/>
            <w:color w:val="F33500"/>
            <w:sz w:val="23"/>
            <w:lang w:eastAsia="it-IT"/>
          </w:rPr>
          <w:t>nota del Ministero del Lavoro n. 14184 del 5 agosto 2013</w:t>
        </w:r>
      </w:hyperlink>
      <w:r w:rsidRPr="00E02853">
        <w:rPr>
          <w:rFonts w:ascii="Georgia" w:eastAsia="Times New Roman" w:hAnsi="Georgia" w:cs="Times New Roman"/>
          <w:color w:val="333333"/>
          <w:sz w:val="23"/>
          <w:szCs w:val="23"/>
          <w:lang w:eastAsia="it-IT"/>
        </w:rPr>
        <w:t> fornisce, a tal proposito, un parametro oggettivo, nel senso che si ritiene accidentale una prestazione resa per una/due volte al mese e con un numero di giornate lavorate nell’anno non superiore a 10: da ciò scaturisce l’obbligo della DNA ed il pagamento del premio assicurativo.</w:t>
      </w:r>
    </w:p>
    <w:p w:rsidR="00E02853" w:rsidRPr="00E02853" w:rsidRDefault="00E02853" w:rsidP="00E02853">
      <w:pPr>
        <w:shd w:val="clear" w:color="auto" w:fill="FFFFFF"/>
        <w:spacing w:after="360" w:line="240" w:lineRule="auto"/>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color w:val="444444"/>
          <w:sz w:val="20"/>
          <w:szCs w:val="20"/>
          <w:lang w:eastAsia="it-IT"/>
        </w:rPr>
        <w:t>La posizione test</w:t>
      </w:r>
      <w:r>
        <w:rPr>
          <w:rFonts w:ascii="Open Sans" w:eastAsia="Times New Roman" w:hAnsi="Open Sans" w:cs="Open Sans"/>
          <w:color w:val="444444"/>
          <w:sz w:val="20"/>
          <w:szCs w:val="20"/>
          <w:lang w:eastAsia="it-IT"/>
        </w:rPr>
        <w:t>é</w:t>
      </w:r>
      <w:r w:rsidRPr="00E02853">
        <w:rPr>
          <w:rFonts w:ascii="Open Sans" w:eastAsia="Times New Roman" w:hAnsi="Open Sans" w:cs="Open Sans"/>
          <w:color w:val="444444"/>
          <w:sz w:val="20"/>
          <w:szCs w:val="20"/>
          <w:lang w:eastAsia="it-IT"/>
        </w:rPr>
        <w:t xml:space="preserve"> espressa si riverbera anche su altri aspetti ispettivi come l’adozione del provvedimento di sospensione ex art. 14 del D.L.vo n. 81/2018: a tal proposito la nota sopra menzionata ricorda che:</w:t>
      </w:r>
    </w:p>
    <w:p w:rsidR="00E02853" w:rsidRPr="00E02853" w:rsidRDefault="00E02853" w:rsidP="00E02853">
      <w:pPr>
        <w:numPr>
          <w:ilvl w:val="0"/>
          <w:numId w:val="1"/>
        </w:numPr>
        <w:shd w:val="clear" w:color="auto" w:fill="FFFFFF"/>
        <w:spacing w:after="0" w:line="240" w:lineRule="auto"/>
        <w:ind w:left="480"/>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color w:val="444444"/>
          <w:sz w:val="20"/>
          <w:szCs w:val="20"/>
          <w:lang w:eastAsia="it-IT"/>
        </w:rPr>
        <w:t>la base numerica sulla quale computare il totale dei lavoratori “presenti sul posto di lavoro al momento dell’accesso comprende anche i lavoratori che effettuano una prestazione non ricorrente”, ossia anche coloro che non sono soggetti all’assicurazione INAIL;</w:t>
      </w:r>
    </w:p>
    <w:p w:rsidR="00E02853" w:rsidRDefault="00E02853" w:rsidP="00E02853">
      <w:pPr>
        <w:numPr>
          <w:ilvl w:val="0"/>
          <w:numId w:val="1"/>
        </w:numPr>
        <w:shd w:val="clear" w:color="auto" w:fill="FFFFFF"/>
        <w:spacing w:after="0" w:line="240" w:lineRule="auto"/>
        <w:ind w:left="480"/>
        <w:jc w:val="both"/>
        <w:textAlignment w:val="baseline"/>
        <w:rPr>
          <w:rFonts w:ascii="Open Sans" w:eastAsia="Times New Roman" w:hAnsi="Open Sans" w:cs="Open Sans"/>
          <w:color w:val="444444"/>
          <w:sz w:val="20"/>
          <w:szCs w:val="20"/>
          <w:lang w:eastAsia="it-IT"/>
        </w:rPr>
      </w:pPr>
      <w:r w:rsidRPr="00E02853">
        <w:rPr>
          <w:rFonts w:ascii="Open Sans" w:eastAsia="Times New Roman" w:hAnsi="Open Sans" w:cs="Open Sans"/>
          <w:color w:val="444444"/>
          <w:sz w:val="20"/>
          <w:szCs w:val="20"/>
          <w:lang w:eastAsia="it-IT"/>
        </w:rPr>
        <w:t>ai fini della quota del 20% necessaria per l’adozione del provvedimento non vanno calcolati i lavoratori non assicurabili all’INAIL.</w:t>
      </w:r>
    </w:p>
    <w:p w:rsidR="007D1256" w:rsidRDefault="007D1256" w:rsidP="007D1256">
      <w:pPr>
        <w:shd w:val="clear" w:color="auto" w:fill="FFFFFF"/>
        <w:spacing w:after="0" w:line="240" w:lineRule="auto"/>
        <w:jc w:val="both"/>
        <w:textAlignment w:val="baseline"/>
        <w:rPr>
          <w:rFonts w:ascii="Open Sans" w:eastAsia="Times New Roman" w:hAnsi="Open Sans" w:cs="Open Sans"/>
          <w:color w:val="444444"/>
          <w:sz w:val="20"/>
          <w:szCs w:val="20"/>
          <w:lang w:eastAsia="it-IT"/>
        </w:rPr>
      </w:pPr>
    </w:p>
    <w:p w:rsidR="007D1256" w:rsidRDefault="007D1256" w:rsidP="007D1256">
      <w:pPr>
        <w:shd w:val="clear" w:color="auto" w:fill="FFFFFF"/>
        <w:spacing w:after="0" w:line="240" w:lineRule="auto"/>
        <w:jc w:val="both"/>
        <w:textAlignment w:val="baseline"/>
        <w:rPr>
          <w:rFonts w:ascii="Open Sans" w:eastAsia="Times New Roman" w:hAnsi="Open Sans" w:cs="Open Sans"/>
          <w:color w:val="444444"/>
          <w:sz w:val="20"/>
          <w:szCs w:val="20"/>
          <w:lang w:eastAsia="it-IT"/>
        </w:rPr>
      </w:pPr>
    </w:p>
    <w:p w:rsidR="007D1256" w:rsidRDefault="007D1256" w:rsidP="007D1256">
      <w:pPr>
        <w:shd w:val="clear" w:color="auto" w:fill="FFFFFF"/>
        <w:spacing w:after="0" w:line="240" w:lineRule="auto"/>
        <w:jc w:val="both"/>
        <w:textAlignment w:val="baseline"/>
        <w:rPr>
          <w:rFonts w:ascii="Open Sans" w:eastAsia="Times New Roman" w:hAnsi="Open Sans" w:cs="Open Sans"/>
          <w:color w:val="444444"/>
          <w:sz w:val="20"/>
          <w:szCs w:val="20"/>
          <w:lang w:eastAsia="it-IT"/>
        </w:rPr>
      </w:pPr>
    </w:p>
    <w:p w:rsidR="007D1256" w:rsidRPr="00E02853" w:rsidRDefault="007D1256" w:rsidP="007D1256">
      <w:pPr>
        <w:shd w:val="clear" w:color="auto" w:fill="FFFFFF"/>
        <w:spacing w:after="0" w:line="240" w:lineRule="auto"/>
        <w:jc w:val="both"/>
        <w:textAlignment w:val="baseline"/>
        <w:rPr>
          <w:rFonts w:ascii="Open Sans" w:eastAsia="Times New Roman" w:hAnsi="Open Sans" w:cs="Open Sans"/>
          <w:color w:val="444444"/>
          <w:sz w:val="20"/>
          <w:szCs w:val="20"/>
          <w:lang w:eastAsia="it-IT"/>
        </w:rPr>
      </w:pPr>
    </w:p>
    <w:p w:rsidR="007D1256" w:rsidRPr="007D1256" w:rsidRDefault="007D1256" w:rsidP="007D1256">
      <w:pPr>
        <w:spacing w:after="0"/>
        <w:ind w:left="360"/>
        <w:jc w:val="center"/>
        <w:rPr>
          <w:rFonts w:ascii="Bradley Hand ITC" w:hAnsi="Bradley Hand ITC"/>
          <w:b/>
          <w:sz w:val="44"/>
          <w:szCs w:val="44"/>
        </w:rPr>
      </w:pPr>
      <w:r w:rsidRPr="007D1256">
        <w:rPr>
          <w:rFonts w:ascii="Bradley Hand ITC" w:hAnsi="Bradley Hand ITC"/>
          <w:b/>
          <w:sz w:val="44"/>
          <w:szCs w:val="44"/>
        </w:rPr>
        <w:t>LAIF</w:t>
      </w:r>
    </w:p>
    <w:p w:rsidR="007D1256" w:rsidRPr="007D1256" w:rsidRDefault="007D1256" w:rsidP="007D1256">
      <w:pPr>
        <w:pStyle w:val="Paragrafoelenco"/>
        <w:spacing w:after="0"/>
        <w:ind w:left="2844"/>
        <w:rPr>
          <w:rFonts w:ascii="Bradley Hand ITC" w:hAnsi="Bradley Hand ITC"/>
          <w:b/>
          <w:i/>
          <w:sz w:val="24"/>
          <w:szCs w:val="24"/>
        </w:rPr>
      </w:pPr>
      <w:r w:rsidRPr="007D1256">
        <w:rPr>
          <w:rFonts w:ascii="Bradley Hand ITC" w:hAnsi="Bradley Hand ITC"/>
          <w:b/>
          <w:i/>
          <w:sz w:val="24"/>
          <w:szCs w:val="24"/>
        </w:rPr>
        <w:t xml:space="preserve">Libera Associazione Imprese </w:t>
      </w:r>
      <w:proofErr w:type="spellStart"/>
      <w:r w:rsidRPr="007D1256">
        <w:rPr>
          <w:rFonts w:ascii="Bradley Hand ITC" w:hAnsi="Bradley Hand ITC"/>
          <w:b/>
          <w:i/>
          <w:sz w:val="24"/>
          <w:szCs w:val="24"/>
        </w:rPr>
        <w:t>Façoniste</w:t>
      </w:r>
      <w:proofErr w:type="spellEnd"/>
    </w:p>
    <w:p w:rsidR="007D1256" w:rsidRPr="007D1256" w:rsidRDefault="007D1256" w:rsidP="007D1256">
      <w:pPr>
        <w:pStyle w:val="Paragrafoelenco"/>
        <w:spacing w:after="0"/>
        <w:rPr>
          <w:rFonts w:ascii="Bradley Hand ITC" w:hAnsi="Bradley Hand ITC"/>
          <w:b/>
          <w:i/>
          <w:sz w:val="24"/>
          <w:szCs w:val="24"/>
        </w:rPr>
      </w:pPr>
    </w:p>
    <w:p w:rsidR="007D1256" w:rsidRPr="007D1256" w:rsidRDefault="007D1256" w:rsidP="007D1256">
      <w:pPr>
        <w:pStyle w:val="Paragrafoelenco"/>
        <w:spacing w:after="0"/>
        <w:ind w:left="4260"/>
        <w:rPr>
          <w:rFonts w:ascii="Bradley Hand ITC" w:hAnsi="Bradley Hand ITC"/>
          <w:b/>
          <w:i/>
          <w:sz w:val="24"/>
          <w:szCs w:val="24"/>
        </w:rPr>
      </w:pPr>
      <w:r>
        <w:rPr>
          <w:rFonts w:ascii="Bradley Hand ITC" w:hAnsi="Bradley Hand ITC"/>
          <w:b/>
          <w:i/>
          <w:sz w:val="24"/>
          <w:szCs w:val="24"/>
        </w:rPr>
        <w:t xml:space="preserve">   </w:t>
      </w:r>
      <w:r>
        <w:rPr>
          <w:noProof/>
          <w:lang w:eastAsia="it-IT"/>
        </w:rPr>
        <w:drawing>
          <wp:inline distT="0" distB="0" distL="0" distR="0">
            <wp:extent cx="762000" cy="447675"/>
            <wp:effectExtent l="19050" t="0" r="0" b="0"/>
            <wp:docPr id="1" name="Immagin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ages"/>
                    <pic:cNvPicPr>
                      <a:picLocks noChangeAspect="1" noChangeArrowheads="1"/>
                    </pic:cNvPicPr>
                  </pic:nvPicPr>
                  <pic:blipFill>
                    <a:blip r:embed="rId14" cstate="print"/>
                    <a:srcRect/>
                    <a:stretch>
                      <a:fillRect/>
                    </a:stretch>
                  </pic:blipFill>
                  <pic:spPr bwMode="auto">
                    <a:xfrm>
                      <a:off x="0" y="0"/>
                      <a:ext cx="762000" cy="447675"/>
                    </a:xfrm>
                    <a:prstGeom prst="rect">
                      <a:avLst/>
                    </a:prstGeom>
                    <a:noFill/>
                    <a:ln w="9525">
                      <a:noFill/>
                      <a:miter lim="800000"/>
                      <a:headEnd/>
                      <a:tailEnd/>
                    </a:ln>
                  </pic:spPr>
                </pic:pic>
              </a:graphicData>
            </a:graphic>
          </wp:inline>
        </w:drawing>
      </w:r>
    </w:p>
    <w:p w:rsidR="00E02853" w:rsidRDefault="00E02853"/>
    <w:sectPr w:rsidR="00E02853" w:rsidSect="00D21D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F05DD"/>
    <w:multiLevelType w:val="multilevel"/>
    <w:tmpl w:val="10C6C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02853"/>
    <w:rsid w:val="007A2A7D"/>
    <w:rsid w:val="007D1256"/>
    <w:rsid w:val="009111F1"/>
    <w:rsid w:val="00D21DDA"/>
    <w:rsid w:val="00E028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1DDA"/>
  </w:style>
  <w:style w:type="paragraph" w:styleId="Titolo1">
    <w:name w:val="heading 1"/>
    <w:basedOn w:val="Normale"/>
    <w:link w:val="Titolo1Carattere"/>
    <w:uiPriority w:val="9"/>
    <w:qFormat/>
    <w:rsid w:val="00E02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02853"/>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E028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02853"/>
    <w:rPr>
      <w:color w:val="0000FF"/>
      <w:u w:val="single"/>
    </w:rPr>
  </w:style>
  <w:style w:type="character" w:styleId="Enfasigrassetto">
    <w:name w:val="Strong"/>
    <w:basedOn w:val="Carpredefinitoparagrafo"/>
    <w:uiPriority w:val="22"/>
    <w:qFormat/>
    <w:rsid w:val="00E02853"/>
    <w:rPr>
      <w:b/>
      <w:bCs/>
    </w:rPr>
  </w:style>
  <w:style w:type="character" w:styleId="Enfasicorsivo">
    <w:name w:val="Emphasis"/>
    <w:basedOn w:val="Carpredefinitoparagrafo"/>
    <w:uiPriority w:val="20"/>
    <w:qFormat/>
    <w:rsid w:val="00E02853"/>
    <w:rPr>
      <w:i/>
      <w:iCs/>
    </w:rPr>
  </w:style>
  <w:style w:type="paragraph" w:styleId="Paragrafoelenco">
    <w:name w:val="List Paragraph"/>
    <w:basedOn w:val="Normale"/>
    <w:uiPriority w:val="34"/>
    <w:qFormat/>
    <w:rsid w:val="007D1256"/>
    <w:pPr>
      <w:ind w:left="720"/>
      <w:contextualSpacing/>
    </w:pPr>
  </w:style>
  <w:style w:type="paragraph" w:styleId="Testofumetto">
    <w:name w:val="Balloon Text"/>
    <w:basedOn w:val="Normale"/>
    <w:link w:val="TestofumettoCarattere"/>
    <w:uiPriority w:val="99"/>
    <w:semiHidden/>
    <w:unhideWhenUsed/>
    <w:rsid w:val="007D12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1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033307">
      <w:bodyDiv w:val="1"/>
      <w:marLeft w:val="0"/>
      <w:marRight w:val="0"/>
      <w:marTop w:val="0"/>
      <w:marBottom w:val="0"/>
      <w:divBdr>
        <w:top w:val="none" w:sz="0" w:space="0" w:color="auto"/>
        <w:left w:val="none" w:sz="0" w:space="0" w:color="auto"/>
        <w:bottom w:val="none" w:sz="0" w:space="0" w:color="auto"/>
        <w:right w:val="none" w:sz="0" w:space="0" w:color="auto"/>
      </w:divBdr>
    </w:div>
    <w:div w:id="507526270">
      <w:bodyDiv w:val="1"/>
      <w:marLeft w:val="0"/>
      <w:marRight w:val="0"/>
      <w:marTop w:val="0"/>
      <w:marBottom w:val="0"/>
      <w:divBdr>
        <w:top w:val="none" w:sz="0" w:space="0" w:color="auto"/>
        <w:left w:val="none" w:sz="0" w:space="0" w:color="auto"/>
        <w:bottom w:val="none" w:sz="0" w:space="0" w:color="auto"/>
        <w:right w:val="none" w:sz="0" w:space="0" w:color="auto"/>
      </w:divBdr>
      <w:divsChild>
        <w:div w:id="423694995">
          <w:blockQuote w:val="1"/>
          <w:marLeft w:val="0"/>
          <w:marRight w:val="0"/>
          <w:marTop w:val="0"/>
          <w:marBottom w:val="360"/>
          <w:divBdr>
            <w:top w:val="none" w:sz="0" w:space="0" w:color="auto"/>
            <w:left w:val="single" w:sz="18" w:space="12" w:color="F33500"/>
            <w:bottom w:val="none" w:sz="0" w:space="0" w:color="auto"/>
            <w:right w:val="none" w:sz="0" w:space="0" w:color="auto"/>
          </w:divBdr>
        </w:div>
        <w:div w:id="764034895">
          <w:blockQuote w:val="1"/>
          <w:marLeft w:val="0"/>
          <w:marRight w:val="0"/>
          <w:marTop w:val="0"/>
          <w:marBottom w:val="360"/>
          <w:divBdr>
            <w:top w:val="none" w:sz="0" w:space="0" w:color="auto"/>
            <w:left w:val="single" w:sz="18" w:space="12" w:color="F33500"/>
            <w:bottom w:val="none" w:sz="0" w:space="0" w:color="auto"/>
            <w:right w:val="none" w:sz="0" w:space="0" w:color="auto"/>
          </w:divBdr>
        </w:div>
        <w:div w:id="1245411467">
          <w:blockQuote w:val="1"/>
          <w:marLeft w:val="0"/>
          <w:marRight w:val="0"/>
          <w:marTop w:val="0"/>
          <w:marBottom w:val="360"/>
          <w:divBdr>
            <w:top w:val="none" w:sz="0" w:space="0" w:color="auto"/>
            <w:left w:val="single" w:sz="18" w:space="12" w:color="F33500"/>
            <w:bottom w:val="none" w:sz="0" w:space="0" w:color="auto"/>
            <w:right w:val="none" w:sz="0" w:space="0" w:color="auto"/>
          </w:divBdr>
        </w:div>
        <w:div w:id="188373717">
          <w:blockQuote w:val="1"/>
          <w:marLeft w:val="0"/>
          <w:marRight w:val="0"/>
          <w:marTop w:val="0"/>
          <w:marBottom w:val="360"/>
          <w:divBdr>
            <w:top w:val="none" w:sz="0" w:space="0" w:color="auto"/>
            <w:left w:val="single" w:sz="18" w:space="12" w:color="F33500"/>
            <w:bottom w:val="none" w:sz="0" w:space="0" w:color="auto"/>
            <w:right w:val="none" w:sz="0" w:space="0" w:color="auto"/>
          </w:divBdr>
        </w:div>
        <w:div w:id="797845465">
          <w:blockQuote w:val="1"/>
          <w:marLeft w:val="0"/>
          <w:marRight w:val="0"/>
          <w:marTop w:val="0"/>
          <w:marBottom w:val="360"/>
          <w:divBdr>
            <w:top w:val="none" w:sz="0" w:space="0" w:color="auto"/>
            <w:left w:val="single" w:sz="18" w:space="12" w:color="F33500"/>
            <w:bottom w:val="none" w:sz="0" w:space="0" w:color="auto"/>
            <w:right w:val="none" w:sz="0" w:space="0" w:color="auto"/>
          </w:divBdr>
        </w:div>
      </w:divsChild>
    </w:div>
    <w:div w:id="153839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amento.it/parlam/leggi/deleghe/03276dl.htm" TargetMode="External"/><Relationship Id="rId13" Type="http://schemas.openxmlformats.org/officeDocument/2006/relationships/hyperlink" Target="https://oklavoro.files.wordpress.com/2013/08/lavoro_lc_2013-14184.pdf" TargetMode="External"/><Relationship Id="rId3" Type="http://schemas.openxmlformats.org/officeDocument/2006/relationships/settings" Target="settings.xml"/><Relationship Id="rId7" Type="http://schemas.openxmlformats.org/officeDocument/2006/relationships/hyperlink" Target="http://www.pabaac.beniculturali.it/opencms/multimedia/BASAE/documents/2009/10/30/1256905171848_camera_Legge_24_novembre_2003_326.pdf" TargetMode="External"/><Relationship Id="rId12" Type="http://schemas.openxmlformats.org/officeDocument/2006/relationships/hyperlink" Target="https://www.inps.it/Circolari/Circolare%20numero%20179%20del%2023-12-2013.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plmodena.it/leggi/Dlgs276_CollegatoLavoro.pdf" TargetMode="External"/><Relationship Id="rId11" Type="http://schemas.openxmlformats.org/officeDocument/2006/relationships/hyperlink" Target="https://www.inps.it/circolari/circolare%20numero%20126%20del%202-6-1997.htm" TargetMode="External"/><Relationship Id="rId5" Type="http://schemas.openxmlformats.org/officeDocument/2006/relationships/hyperlink" Target="http://www.dottrinalavoro.it/wp-content/uploads/2018/03/INL-lettera-circolare-15032018-precisazioni-collaboratori-familiari-nei-settori-artigianato-agricoltura-e-commercio-1.pdf" TargetMode="External"/><Relationship Id="rId15" Type="http://schemas.openxmlformats.org/officeDocument/2006/relationships/fontTable" Target="fontTable.xml"/><Relationship Id="rId10" Type="http://schemas.openxmlformats.org/officeDocument/2006/relationships/hyperlink" Target="http://www.ilsole24ore.com/pdf2010/SoleOnLine5/_Oggetti_Correlati/Documenti/Norme%20e%20Tributi/2013/07/LETT-CIRC-37-0010478.pdf" TargetMode="External"/><Relationship Id="rId4" Type="http://schemas.openxmlformats.org/officeDocument/2006/relationships/webSettings" Target="webSettings.xml"/><Relationship Id="rId9" Type="http://schemas.openxmlformats.org/officeDocument/2006/relationships/hyperlink" Target="https://www.generazionevincente.it/wp-content/uploads/2018/03/Legge-3-giugno-1975-n-160.pdf" TargetMode="External"/><Relationship Id="rId1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1650</Words>
  <Characters>9411</Characters>
  <Application>Microsoft Office Word</Application>
  <DocSecurity>0</DocSecurity>
  <Lines>78</Lines>
  <Paragraphs>22</Paragraphs>
  <ScaleCrop>false</ScaleCrop>
  <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Traversa</dc:creator>
  <cp:lastModifiedBy>Traversa</cp:lastModifiedBy>
  <cp:revision>3</cp:revision>
  <dcterms:created xsi:type="dcterms:W3CDTF">2018-03-28T07:34:00Z</dcterms:created>
  <dcterms:modified xsi:type="dcterms:W3CDTF">2018-03-28T07:43:00Z</dcterms:modified>
</cp:coreProperties>
</file>