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2F8" w:rsidRPr="004B72F8" w:rsidRDefault="004B72F8" w:rsidP="004B72F8">
      <w:pPr>
        <w:spacing w:after="149" w:line="571" w:lineRule="atLeast"/>
        <w:textAlignment w:val="baseline"/>
        <w:outlineLvl w:val="0"/>
        <w:rPr>
          <w:rFonts w:ascii="Times New Roman" w:eastAsia="Times New Roman" w:hAnsi="Times New Roman" w:cs="Times New Roman"/>
          <w:color w:val="007AC3"/>
          <w:kern w:val="36"/>
          <w:sz w:val="49"/>
          <w:szCs w:val="49"/>
          <w:lang w:eastAsia="it-IT"/>
        </w:rPr>
      </w:pPr>
      <w:r w:rsidRPr="004B72F8">
        <w:rPr>
          <w:rFonts w:ascii="Times New Roman" w:eastAsia="Times New Roman" w:hAnsi="Times New Roman" w:cs="Times New Roman"/>
          <w:color w:val="007AC3"/>
          <w:kern w:val="36"/>
          <w:sz w:val="49"/>
          <w:szCs w:val="49"/>
          <w:lang w:eastAsia="it-IT"/>
        </w:rPr>
        <w:t>Retribuzioni in contanti: dal 1° luglio 2018 il divieto. Con quali sanzioni?</w:t>
      </w:r>
    </w:p>
    <w:p w:rsidR="004B72F8" w:rsidRPr="004B72F8" w:rsidRDefault="004B72F8" w:rsidP="004B72F8">
      <w:pPr>
        <w:spacing w:before="82" w:after="272" w:line="299" w:lineRule="atLeast"/>
        <w:textAlignment w:val="baseline"/>
        <w:rPr>
          <w:rFonts w:ascii="Arial" w:eastAsia="Times New Roman" w:hAnsi="Arial" w:cs="Arial"/>
          <w:sz w:val="20"/>
          <w:szCs w:val="20"/>
          <w:lang w:eastAsia="it-IT"/>
        </w:rPr>
      </w:pPr>
      <w:r w:rsidRPr="004B72F8">
        <w:rPr>
          <w:rFonts w:ascii="Arial" w:eastAsia="Times New Roman" w:hAnsi="Arial" w:cs="Arial"/>
          <w:sz w:val="20"/>
          <w:szCs w:val="20"/>
          <w:lang w:eastAsia="it-IT"/>
        </w:rPr>
        <w:t>Ancora pochi mesi e diventerà operativo il divieto per le aziende di pagare la retribuzione in contanti a dipendenti, collaboratori e soci lavoratori di cooperativa. Dal 1° luglio 2018, infatti, le uniche modalità di pagamento consentite saranno il bonifico bancario o postale, il pagamento in contanti presso lo sportello bancario o postale dove il datore di lavoro abbia aperto un conto corrente, l’emissione di un assegno consegnato direttamente al lavoratore o gli strumenti di pagamento elettronico. A quali sanzioni va incontro il datore di lavoro se non osserva il divieto?</w:t>
      </w:r>
    </w:p>
    <w:p w:rsidR="004B72F8" w:rsidRPr="004B72F8" w:rsidRDefault="004B72F8" w:rsidP="004B72F8">
      <w:pPr>
        <w:shd w:val="clear" w:color="auto" w:fill="FFFFFF"/>
        <w:spacing w:line="285" w:lineRule="atLeast"/>
        <w:textAlignment w:val="baseline"/>
        <w:rPr>
          <w:rFonts w:ascii="Arial" w:eastAsia="Times New Roman" w:hAnsi="Arial" w:cs="Arial"/>
          <w:color w:val="000000"/>
          <w:sz w:val="19"/>
          <w:szCs w:val="19"/>
          <w:lang w:eastAsia="it-IT"/>
        </w:rPr>
      </w:pPr>
      <w:r w:rsidRPr="004B72F8">
        <w:rPr>
          <w:rFonts w:ascii="Arial" w:eastAsia="Times New Roman" w:hAnsi="Arial" w:cs="Arial"/>
          <w:color w:val="000000"/>
          <w:sz w:val="19"/>
          <w:szCs w:val="19"/>
          <w:lang w:eastAsia="it-IT"/>
        </w:rPr>
        <w:t>Dal 1° luglio 2018 i </w:t>
      </w:r>
      <w:r w:rsidRPr="004B72F8">
        <w:rPr>
          <w:rFonts w:ascii="Arial" w:eastAsia="Times New Roman" w:hAnsi="Arial" w:cs="Arial"/>
          <w:color w:val="000000"/>
          <w:sz w:val="19"/>
          <w:lang w:eastAsia="it-IT"/>
        </w:rPr>
        <w:t>datori di lavoro</w:t>
      </w:r>
      <w:r w:rsidRPr="004B72F8">
        <w:rPr>
          <w:rFonts w:ascii="Arial" w:eastAsia="Times New Roman" w:hAnsi="Arial" w:cs="Arial"/>
          <w:color w:val="000000"/>
          <w:sz w:val="19"/>
          <w:szCs w:val="19"/>
          <w:lang w:eastAsia="it-IT"/>
        </w:rPr>
        <w:t> ed i </w:t>
      </w:r>
      <w:r w:rsidRPr="004B72F8">
        <w:rPr>
          <w:rFonts w:ascii="Arial" w:eastAsia="Times New Roman" w:hAnsi="Arial" w:cs="Arial"/>
          <w:color w:val="000000"/>
          <w:sz w:val="19"/>
          <w:lang w:eastAsia="it-IT"/>
        </w:rPr>
        <w:t>committenti </w:t>
      </w:r>
      <w:r w:rsidRPr="004B72F8">
        <w:rPr>
          <w:rFonts w:ascii="Arial" w:eastAsia="Times New Roman" w:hAnsi="Arial" w:cs="Arial"/>
          <w:color w:val="000000"/>
          <w:sz w:val="19"/>
          <w:szCs w:val="19"/>
          <w:lang w:eastAsia="it-IT"/>
        </w:rPr>
        <w:t>non potranno più corrispondere ai lavoratori/collaboratori la retribuzione/compenso, nonché ogni anticipo di essa, per mezzo di denaro contante, indipendentemente dalla tipologia del rapporto di lavoro instaurato.</w:t>
      </w:r>
    </w:p>
    <w:p w:rsidR="004B72F8" w:rsidRPr="004B72F8" w:rsidRDefault="004B72F8" w:rsidP="004B72F8">
      <w:pPr>
        <w:shd w:val="clear" w:color="auto" w:fill="FFFFFF"/>
        <w:spacing w:line="285" w:lineRule="atLeast"/>
        <w:textAlignment w:val="baseline"/>
        <w:rPr>
          <w:rFonts w:ascii="Arial" w:eastAsia="Times New Roman" w:hAnsi="Arial" w:cs="Arial"/>
          <w:color w:val="000000"/>
          <w:sz w:val="19"/>
          <w:szCs w:val="19"/>
          <w:lang w:eastAsia="it-IT"/>
        </w:rPr>
      </w:pPr>
      <w:r w:rsidRPr="004B72F8">
        <w:rPr>
          <w:rFonts w:ascii="Arial" w:eastAsia="Times New Roman" w:hAnsi="Arial" w:cs="Arial"/>
          <w:color w:val="000000"/>
          <w:sz w:val="19"/>
          <w:szCs w:val="19"/>
          <w:lang w:eastAsia="it-IT"/>
        </w:rPr>
        <w:t>La norma di riferimento è all’interno della Legge di Bilancio 2018 (articoli 911 e ss. della legge n. 205 del 27 dicembre 2017).</w:t>
      </w:r>
    </w:p>
    <w:p w:rsidR="004B72F8" w:rsidRPr="004B72F8" w:rsidRDefault="004B72F8" w:rsidP="004B72F8">
      <w:pPr>
        <w:shd w:val="clear" w:color="auto" w:fill="FFFFFF"/>
        <w:spacing w:line="285" w:lineRule="atLeast"/>
        <w:textAlignment w:val="baseline"/>
        <w:rPr>
          <w:rFonts w:ascii="Arial" w:eastAsia="Times New Roman" w:hAnsi="Arial" w:cs="Arial"/>
          <w:color w:val="000000"/>
          <w:sz w:val="19"/>
          <w:szCs w:val="19"/>
          <w:lang w:eastAsia="it-IT"/>
        </w:rPr>
      </w:pPr>
      <w:r w:rsidRPr="004B72F8">
        <w:rPr>
          <w:rFonts w:ascii="Arial" w:eastAsia="Times New Roman" w:hAnsi="Arial" w:cs="Arial"/>
          <w:color w:val="000000"/>
          <w:sz w:val="19"/>
          <w:szCs w:val="19"/>
          <w:lang w:eastAsia="it-IT"/>
        </w:rPr>
        <w:t>La finalità del provvedimento attiene ad una maggiore trasparenza nella </w:t>
      </w:r>
      <w:r w:rsidRPr="004B72F8">
        <w:rPr>
          <w:rFonts w:ascii="Arial" w:eastAsia="Times New Roman" w:hAnsi="Arial" w:cs="Arial"/>
          <w:color w:val="000000"/>
          <w:sz w:val="19"/>
          <w:lang w:eastAsia="it-IT"/>
        </w:rPr>
        <w:t>corresponsione degli emolumenti</w:t>
      </w:r>
      <w:r w:rsidRPr="004B72F8">
        <w:rPr>
          <w:rFonts w:ascii="Arial" w:eastAsia="Times New Roman" w:hAnsi="Arial" w:cs="Arial"/>
          <w:color w:val="000000"/>
          <w:sz w:val="19"/>
          <w:szCs w:val="19"/>
          <w:lang w:eastAsia="it-IT"/>
        </w:rPr>
        <w:t> ai lavoratori, ciò a tutela dei diritti dei lavoratori stessi, nonché al fine di contrastare il fenomeno dell’economia sommersa attraverso la corresponsione di valori con modalità di pagamento tracciabili.</w:t>
      </w:r>
    </w:p>
    <w:p w:rsidR="004B72F8" w:rsidRPr="004B72F8" w:rsidRDefault="004B72F8" w:rsidP="004B72F8">
      <w:pPr>
        <w:shd w:val="clear" w:color="auto" w:fill="FFFFFF"/>
        <w:spacing w:line="285" w:lineRule="atLeast"/>
        <w:textAlignment w:val="baseline"/>
        <w:rPr>
          <w:rFonts w:ascii="Arial" w:eastAsia="Times New Roman" w:hAnsi="Arial" w:cs="Arial"/>
          <w:color w:val="000000"/>
          <w:sz w:val="19"/>
          <w:szCs w:val="19"/>
          <w:lang w:eastAsia="it-IT"/>
        </w:rPr>
      </w:pPr>
      <w:r w:rsidRPr="004B72F8">
        <w:rPr>
          <w:rFonts w:ascii="Arial" w:eastAsia="Times New Roman" w:hAnsi="Arial" w:cs="Arial"/>
          <w:color w:val="000000"/>
          <w:sz w:val="19"/>
          <w:szCs w:val="19"/>
          <w:lang w:eastAsia="it-IT"/>
        </w:rPr>
        <w:t>Vediamo le caratteristiche della norma.</w:t>
      </w:r>
    </w:p>
    <w:p w:rsidR="004B72F8" w:rsidRPr="004B72F8" w:rsidRDefault="004B72F8" w:rsidP="004B72F8">
      <w:pPr>
        <w:shd w:val="clear" w:color="auto" w:fill="FFFFFF"/>
        <w:spacing w:before="408" w:after="340" w:line="326" w:lineRule="atLeast"/>
        <w:textAlignment w:val="baseline"/>
        <w:outlineLvl w:val="1"/>
        <w:rPr>
          <w:rFonts w:ascii="Arial" w:eastAsia="Times New Roman" w:hAnsi="Arial" w:cs="Arial"/>
          <w:color w:val="000000"/>
          <w:sz w:val="25"/>
          <w:szCs w:val="25"/>
          <w:u w:val="single"/>
          <w:lang w:eastAsia="it-IT"/>
        </w:rPr>
      </w:pPr>
      <w:r w:rsidRPr="004B72F8">
        <w:rPr>
          <w:rFonts w:ascii="Arial" w:eastAsia="Times New Roman" w:hAnsi="Arial" w:cs="Arial"/>
          <w:color w:val="000000"/>
          <w:sz w:val="25"/>
          <w:szCs w:val="25"/>
          <w:u w:val="single"/>
          <w:lang w:eastAsia="it-IT"/>
        </w:rPr>
        <w:t>Rapporti di lavoro</w:t>
      </w:r>
    </w:p>
    <w:p w:rsidR="004B72F8" w:rsidRPr="004B72F8" w:rsidRDefault="004B72F8" w:rsidP="004B72F8">
      <w:pPr>
        <w:shd w:val="clear" w:color="auto" w:fill="FFFFFF"/>
        <w:spacing w:line="285" w:lineRule="atLeast"/>
        <w:textAlignment w:val="baseline"/>
        <w:rPr>
          <w:rFonts w:ascii="Arial" w:eastAsia="Times New Roman" w:hAnsi="Arial" w:cs="Arial"/>
          <w:color w:val="000000"/>
          <w:sz w:val="19"/>
          <w:szCs w:val="19"/>
          <w:lang w:eastAsia="it-IT"/>
        </w:rPr>
      </w:pPr>
      <w:r w:rsidRPr="004B72F8">
        <w:rPr>
          <w:rFonts w:ascii="Arial" w:eastAsia="Times New Roman" w:hAnsi="Arial" w:cs="Arial"/>
          <w:color w:val="000000"/>
          <w:sz w:val="19"/>
          <w:szCs w:val="19"/>
          <w:lang w:eastAsia="it-IT"/>
        </w:rPr>
        <w:t>La preclusione all’uso del contante è prevista per </w:t>
      </w:r>
      <w:r w:rsidRPr="004B72F8">
        <w:rPr>
          <w:rFonts w:ascii="Arial" w:eastAsia="Times New Roman" w:hAnsi="Arial" w:cs="Arial"/>
          <w:color w:val="000000"/>
          <w:sz w:val="19"/>
          <w:lang w:eastAsia="it-IT"/>
        </w:rPr>
        <w:t>qualsiasi rapporto di natura lavorativa</w:t>
      </w:r>
      <w:r w:rsidRPr="004B72F8">
        <w:rPr>
          <w:rFonts w:ascii="Arial" w:eastAsia="Times New Roman" w:hAnsi="Arial" w:cs="Arial"/>
          <w:color w:val="000000"/>
          <w:sz w:val="19"/>
          <w:szCs w:val="19"/>
          <w:lang w:eastAsia="it-IT"/>
        </w:rPr>
        <w:t>, indipendentemente dalle modalità di svolgimento della prestazione, sia essa autonoma o subordinata (es. rapporto dipendente, collaborazione coordinata e continuativa, ecc.).</w:t>
      </w:r>
    </w:p>
    <w:p w:rsidR="004B72F8" w:rsidRPr="004B72F8" w:rsidRDefault="004B72F8" w:rsidP="004B72F8">
      <w:pPr>
        <w:shd w:val="clear" w:color="auto" w:fill="FFFFFF"/>
        <w:spacing w:line="285" w:lineRule="atLeast"/>
        <w:textAlignment w:val="baseline"/>
        <w:rPr>
          <w:rFonts w:ascii="Arial" w:eastAsia="Times New Roman" w:hAnsi="Arial" w:cs="Arial"/>
          <w:color w:val="000000"/>
          <w:sz w:val="19"/>
          <w:szCs w:val="19"/>
          <w:lang w:eastAsia="it-IT"/>
        </w:rPr>
      </w:pPr>
      <w:r w:rsidRPr="004B72F8">
        <w:rPr>
          <w:rFonts w:ascii="Arial" w:eastAsia="Times New Roman" w:hAnsi="Arial" w:cs="Arial"/>
          <w:color w:val="000000"/>
          <w:sz w:val="19"/>
          <w:szCs w:val="19"/>
          <w:lang w:eastAsia="it-IT"/>
        </w:rPr>
        <w:t>Rientrano nella disposizione anche i rapporti di lavoro instaurati, in qualsiasi forma, dalle </w:t>
      </w:r>
      <w:r w:rsidRPr="004B72F8">
        <w:rPr>
          <w:rFonts w:ascii="Arial" w:eastAsia="Times New Roman" w:hAnsi="Arial" w:cs="Arial"/>
          <w:color w:val="000000"/>
          <w:sz w:val="19"/>
          <w:lang w:eastAsia="it-IT"/>
        </w:rPr>
        <w:t>cooperative</w:t>
      </w:r>
      <w:r w:rsidRPr="004B72F8">
        <w:rPr>
          <w:rFonts w:ascii="Arial" w:eastAsia="Times New Roman" w:hAnsi="Arial" w:cs="Arial"/>
          <w:color w:val="000000"/>
          <w:sz w:val="19"/>
          <w:szCs w:val="19"/>
          <w:lang w:eastAsia="it-IT"/>
        </w:rPr>
        <w:t> con i propri soci (ai sensi della legge 3 aprile 2001, n. 142).</w:t>
      </w:r>
    </w:p>
    <w:p w:rsidR="004B72F8" w:rsidRPr="004B72F8" w:rsidRDefault="004B72F8" w:rsidP="004B72F8">
      <w:pPr>
        <w:shd w:val="clear" w:color="auto" w:fill="FFFFFF"/>
        <w:spacing w:line="285" w:lineRule="atLeast"/>
        <w:textAlignment w:val="baseline"/>
        <w:rPr>
          <w:rFonts w:ascii="Arial" w:eastAsia="Times New Roman" w:hAnsi="Arial" w:cs="Arial"/>
          <w:color w:val="000000"/>
          <w:sz w:val="19"/>
          <w:szCs w:val="19"/>
          <w:lang w:eastAsia="it-IT"/>
        </w:rPr>
      </w:pPr>
      <w:r w:rsidRPr="004B72F8">
        <w:rPr>
          <w:rFonts w:ascii="Arial" w:eastAsia="Times New Roman" w:hAnsi="Arial" w:cs="Arial"/>
          <w:color w:val="000000"/>
          <w:sz w:val="19"/>
          <w:szCs w:val="19"/>
          <w:lang w:eastAsia="it-IT"/>
        </w:rPr>
        <w:t>Inoltre, nessuna esclusione alla disposizione normativa può essere effettuata in relazione alla brevità del rapporto di lavoro, come, ad esempio, per quanto attiene ai contratti subordinati a tempo determinato o intermittenti, ovvero per i rapporti di </w:t>
      </w:r>
      <w:r w:rsidRPr="004B72F8">
        <w:rPr>
          <w:rFonts w:ascii="Arial" w:eastAsia="Times New Roman" w:hAnsi="Arial" w:cs="Arial"/>
          <w:color w:val="000000"/>
          <w:sz w:val="19"/>
          <w:lang w:eastAsia="it-IT"/>
        </w:rPr>
        <w:t>lavoro autonomo occasionali</w:t>
      </w:r>
      <w:r w:rsidRPr="004B72F8">
        <w:rPr>
          <w:rFonts w:ascii="Arial" w:eastAsia="Times New Roman" w:hAnsi="Arial" w:cs="Arial"/>
          <w:color w:val="000000"/>
          <w:sz w:val="19"/>
          <w:szCs w:val="19"/>
          <w:lang w:eastAsia="it-IT"/>
        </w:rPr>
        <w:t>, previsti dall’art. 2222 del c.c.; infatti, anche per detti casi, bisognerà seguire le indicazioni fornite dal legislatore in merito ai mezzi di pagamento tracciati, per le prestazioni fornite.</w:t>
      </w:r>
    </w:p>
    <w:p w:rsidR="004B72F8" w:rsidRPr="004B72F8" w:rsidRDefault="004B72F8" w:rsidP="004B72F8">
      <w:pPr>
        <w:shd w:val="clear" w:color="auto" w:fill="FFFFFF"/>
        <w:spacing w:before="408" w:after="340" w:line="326" w:lineRule="atLeast"/>
        <w:textAlignment w:val="baseline"/>
        <w:outlineLvl w:val="1"/>
        <w:rPr>
          <w:rFonts w:ascii="Arial" w:eastAsia="Times New Roman" w:hAnsi="Arial" w:cs="Arial"/>
          <w:color w:val="000000"/>
          <w:sz w:val="25"/>
          <w:szCs w:val="25"/>
          <w:u w:val="single"/>
          <w:lang w:eastAsia="it-IT"/>
        </w:rPr>
      </w:pPr>
      <w:r w:rsidRPr="004B72F8">
        <w:rPr>
          <w:rFonts w:ascii="Arial" w:eastAsia="Times New Roman" w:hAnsi="Arial" w:cs="Arial"/>
          <w:color w:val="000000"/>
          <w:sz w:val="25"/>
          <w:szCs w:val="25"/>
          <w:u w:val="single"/>
          <w:lang w:eastAsia="it-IT"/>
        </w:rPr>
        <w:t>Esclusioni</w:t>
      </w:r>
    </w:p>
    <w:p w:rsidR="004B72F8" w:rsidRPr="004B72F8" w:rsidRDefault="004B72F8" w:rsidP="004B72F8">
      <w:pPr>
        <w:shd w:val="clear" w:color="auto" w:fill="FFFFFF"/>
        <w:spacing w:line="285" w:lineRule="atLeast"/>
        <w:textAlignment w:val="baseline"/>
        <w:rPr>
          <w:rFonts w:ascii="Arial" w:eastAsia="Times New Roman" w:hAnsi="Arial" w:cs="Arial"/>
          <w:color w:val="000000"/>
          <w:sz w:val="19"/>
          <w:szCs w:val="19"/>
          <w:lang w:eastAsia="it-IT"/>
        </w:rPr>
      </w:pPr>
      <w:r w:rsidRPr="004B72F8">
        <w:rPr>
          <w:rFonts w:ascii="Arial" w:eastAsia="Times New Roman" w:hAnsi="Arial" w:cs="Arial"/>
          <w:color w:val="000000"/>
          <w:sz w:val="19"/>
          <w:szCs w:val="19"/>
          <w:lang w:eastAsia="it-IT"/>
        </w:rPr>
        <w:t>Vengono previste anche delle esclusioni all’obbligo normativo. Questi i rapporti esclusi dal divieto al pagamento in contanti delle retribuzioni:</w:t>
      </w:r>
    </w:p>
    <w:p w:rsidR="004B72F8" w:rsidRPr="004B72F8" w:rsidRDefault="004B72F8" w:rsidP="004B72F8">
      <w:pPr>
        <w:shd w:val="clear" w:color="auto" w:fill="FFFFFF"/>
        <w:spacing w:line="285" w:lineRule="atLeast"/>
        <w:textAlignment w:val="baseline"/>
        <w:rPr>
          <w:rFonts w:ascii="Arial" w:eastAsia="Times New Roman" w:hAnsi="Arial" w:cs="Arial"/>
          <w:color w:val="000000"/>
          <w:sz w:val="19"/>
          <w:szCs w:val="19"/>
          <w:lang w:eastAsia="it-IT"/>
        </w:rPr>
      </w:pPr>
      <w:r w:rsidRPr="004B72F8">
        <w:rPr>
          <w:rFonts w:ascii="Arial" w:eastAsia="Times New Roman" w:hAnsi="Arial" w:cs="Arial"/>
          <w:color w:val="000000"/>
          <w:sz w:val="19"/>
          <w:szCs w:val="19"/>
          <w:lang w:eastAsia="it-IT"/>
        </w:rPr>
        <w:t>- rapporti di lavoro instaurati con le </w:t>
      </w:r>
      <w:r w:rsidRPr="004B72F8">
        <w:rPr>
          <w:rFonts w:ascii="Arial" w:eastAsia="Times New Roman" w:hAnsi="Arial" w:cs="Arial"/>
          <w:color w:val="000000"/>
          <w:sz w:val="19"/>
          <w:lang w:eastAsia="it-IT"/>
        </w:rPr>
        <w:t>Pubbliche Amministrazioni</w:t>
      </w:r>
      <w:r w:rsidRPr="004B72F8">
        <w:rPr>
          <w:rFonts w:ascii="Arial" w:eastAsia="Times New Roman" w:hAnsi="Arial" w:cs="Arial"/>
          <w:color w:val="000000"/>
          <w:sz w:val="19"/>
          <w:szCs w:val="19"/>
          <w:lang w:eastAsia="it-IT"/>
        </w:rPr>
        <w:t> (di cui all'articolo 1, comma 2, del decreto legislativo 30 marzo 2001, n. 165);</w:t>
      </w:r>
    </w:p>
    <w:p w:rsidR="004B72F8" w:rsidRPr="004B72F8" w:rsidRDefault="004B72F8" w:rsidP="004B72F8">
      <w:pPr>
        <w:shd w:val="clear" w:color="auto" w:fill="FFFFFF"/>
        <w:spacing w:line="285" w:lineRule="atLeast"/>
        <w:textAlignment w:val="baseline"/>
        <w:rPr>
          <w:rFonts w:ascii="Arial" w:eastAsia="Times New Roman" w:hAnsi="Arial" w:cs="Arial"/>
          <w:color w:val="000000"/>
          <w:sz w:val="19"/>
          <w:szCs w:val="19"/>
          <w:lang w:eastAsia="it-IT"/>
        </w:rPr>
      </w:pPr>
      <w:r w:rsidRPr="004B72F8">
        <w:rPr>
          <w:rFonts w:ascii="Arial" w:eastAsia="Times New Roman" w:hAnsi="Arial" w:cs="Arial"/>
          <w:color w:val="000000"/>
          <w:sz w:val="19"/>
          <w:szCs w:val="19"/>
          <w:lang w:eastAsia="it-IT"/>
        </w:rPr>
        <w:t>-rapporti di </w:t>
      </w:r>
      <w:r w:rsidRPr="004B72F8">
        <w:rPr>
          <w:rFonts w:ascii="Arial" w:eastAsia="Times New Roman" w:hAnsi="Arial" w:cs="Arial"/>
          <w:color w:val="000000"/>
          <w:sz w:val="19"/>
          <w:lang w:eastAsia="it-IT"/>
        </w:rPr>
        <w:t>lavoro domestico</w:t>
      </w:r>
      <w:r w:rsidRPr="004B72F8">
        <w:rPr>
          <w:rFonts w:ascii="Arial" w:eastAsia="Times New Roman" w:hAnsi="Arial" w:cs="Arial"/>
          <w:color w:val="000000"/>
          <w:sz w:val="19"/>
          <w:szCs w:val="19"/>
          <w:lang w:eastAsia="it-IT"/>
        </w:rPr>
        <w:t> (di cui alla legge 2 aprile 1958, n. 339 e a quelli comunque rientranti nell'ambito di applicazione dei CCNL per gli addetti a servizi familiari e domestici, stipulati dalle associazioni sindacali comparativamente più rappresentative a livello nazionale).</w:t>
      </w:r>
    </w:p>
    <w:p w:rsidR="004B72F8" w:rsidRPr="004B72F8" w:rsidRDefault="004B72F8" w:rsidP="004B72F8">
      <w:pPr>
        <w:shd w:val="clear" w:color="auto" w:fill="FFFFFF"/>
        <w:spacing w:line="285" w:lineRule="atLeast"/>
        <w:textAlignment w:val="baseline"/>
        <w:rPr>
          <w:rFonts w:ascii="Arial" w:eastAsia="Times New Roman" w:hAnsi="Arial" w:cs="Arial"/>
          <w:color w:val="000000"/>
          <w:sz w:val="19"/>
          <w:szCs w:val="19"/>
          <w:lang w:eastAsia="it-IT"/>
        </w:rPr>
      </w:pPr>
      <w:r w:rsidRPr="004B72F8">
        <w:rPr>
          <w:rFonts w:ascii="Arial" w:eastAsia="Times New Roman" w:hAnsi="Arial" w:cs="Arial"/>
          <w:color w:val="000000"/>
          <w:sz w:val="19"/>
          <w:szCs w:val="19"/>
          <w:lang w:eastAsia="it-IT"/>
        </w:rPr>
        <w:lastRenderedPageBreak/>
        <w:t>Resta inteso che qualora la retribuzione sia superiore ai 2.999,99 euro, si debba fare riferimento alla normativa generale (articolo 49, comma 1, del decreto legislativo n. 231 del 21 novembre 2007) che prevede il divieto al trasferimento di denaro contante qualora sia di importo pari o superiore a 3.000 euro. Il trasferimento superiore al predetto limite, quale che ne sia la causa o il titolo, è vietato anche quando è effettuato con più pagamenti, inferiori alla soglia, che appaiono artificiosamente frazionati.</w:t>
      </w:r>
    </w:p>
    <w:p w:rsidR="004B72F8" w:rsidRPr="004B72F8" w:rsidRDefault="004B72F8" w:rsidP="004B72F8">
      <w:pPr>
        <w:shd w:val="clear" w:color="auto" w:fill="FFFFFF"/>
        <w:spacing w:line="285" w:lineRule="atLeast"/>
        <w:textAlignment w:val="baseline"/>
        <w:rPr>
          <w:rFonts w:ascii="Arial" w:eastAsia="Times New Roman" w:hAnsi="Arial" w:cs="Arial"/>
          <w:color w:val="000000"/>
          <w:sz w:val="19"/>
          <w:szCs w:val="19"/>
          <w:lang w:eastAsia="it-IT"/>
        </w:rPr>
      </w:pPr>
      <w:r w:rsidRPr="004B72F8">
        <w:rPr>
          <w:rFonts w:ascii="Arial" w:eastAsia="Times New Roman" w:hAnsi="Arial" w:cs="Arial"/>
          <w:color w:val="000000"/>
          <w:sz w:val="19"/>
          <w:szCs w:val="19"/>
          <w:lang w:eastAsia="it-IT"/>
        </w:rPr>
        <w:t>In caso di violazione alla presente disposizione, il legislatore prevede una </w:t>
      </w:r>
      <w:r w:rsidRPr="004B72F8">
        <w:rPr>
          <w:rFonts w:ascii="Arial" w:eastAsia="Times New Roman" w:hAnsi="Arial" w:cs="Arial"/>
          <w:color w:val="000000"/>
          <w:sz w:val="19"/>
          <w:lang w:eastAsia="it-IT"/>
        </w:rPr>
        <w:t>sanzione amministrativa</w:t>
      </w:r>
      <w:r w:rsidRPr="004B72F8">
        <w:rPr>
          <w:rFonts w:ascii="Arial" w:eastAsia="Times New Roman" w:hAnsi="Arial" w:cs="Arial"/>
          <w:color w:val="000000"/>
          <w:sz w:val="19"/>
          <w:szCs w:val="19"/>
          <w:lang w:eastAsia="it-IT"/>
        </w:rPr>
        <w:t> pecuniaria da 3.000 a 50.000 euro, che verrà predisposta dagli uffici della Ragioneria territoriale dello Stato.</w:t>
      </w:r>
    </w:p>
    <w:p w:rsidR="004B72F8" w:rsidRPr="004B72F8" w:rsidRDefault="004B72F8" w:rsidP="004B72F8">
      <w:pPr>
        <w:shd w:val="clear" w:color="auto" w:fill="FFFFFF"/>
        <w:spacing w:before="408" w:after="340" w:line="326" w:lineRule="atLeast"/>
        <w:textAlignment w:val="baseline"/>
        <w:outlineLvl w:val="1"/>
        <w:rPr>
          <w:rFonts w:ascii="Arial" w:eastAsia="Times New Roman" w:hAnsi="Arial" w:cs="Arial"/>
          <w:color w:val="000000"/>
          <w:sz w:val="25"/>
          <w:szCs w:val="25"/>
          <w:u w:val="single"/>
          <w:lang w:eastAsia="it-IT"/>
        </w:rPr>
      </w:pPr>
      <w:r w:rsidRPr="004B72F8">
        <w:rPr>
          <w:rFonts w:ascii="Arial" w:eastAsia="Times New Roman" w:hAnsi="Arial" w:cs="Arial"/>
          <w:color w:val="000000"/>
          <w:sz w:val="25"/>
          <w:szCs w:val="25"/>
          <w:u w:val="single"/>
          <w:lang w:eastAsia="it-IT"/>
        </w:rPr>
        <w:t>Modalità di pagamento</w:t>
      </w:r>
    </w:p>
    <w:p w:rsidR="004B72F8" w:rsidRPr="004B72F8" w:rsidRDefault="004B72F8" w:rsidP="004B72F8">
      <w:pPr>
        <w:shd w:val="clear" w:color="auto" w:fill="FFFFFF"/>
        <w:spacing w:line="285" w:lineRule="atLeast"/>
        <w:textAlignment w:val="baseline"/>
        <w:rPr>
          <w:rFonts w:ascii="Arial" w:eastAsia="Times New Roman" w:hAnsi="Arial" w:cs="Arial"/>
          <w:color w:val="000000"/>
          <w:sz w:val="19"/>
          <w:szCs w:val="19"/>
          <w:lang w:eastAsia="it-IT"/>
        </w:rPr>
      </w:pPr>
      <w:r w:rsidRPr="004B72F8">
        <w:rPr>
          <w:rFonts w:ascii="Arial" w:eastAsia="Times New Roman" w:hAnsi="Arial" w:cs="Arial"/>
          <w:color w:val="000000"/>
          <w:sz w:val="19"/>
          <w:szCs w:val="19"/>
          <w:lang w:eastAsia="it-IT"/>
        </w:rPr>
        <w:t>Queste le uniche modalità di pagamento previste, dal legislatore, dal 1° luglio 2018:</w:t>
      </w:r>
    </w:p>
    <w:p w:rsidR="004B72F8" w:rsidRPr="004B72F8" w:rsidRDefault="004B72F8" w:rsidP="004B72F8">
      <w:pPr>
        <w:shd w:val="clear" w:color="auto" w:fill="FFFFFF"/>
        <w:spacing w:line="285" w:lineRule="atLeast"/>
        <w:textAlignment w:val="baseline"/>
        <w:rPr>
          <w:rFonts w:ascii="Arial" w:eastAsia="Times New Roman" w:hAnsi="Arial" w:cs="Arial"/>
          <w:color w:val="000000"/>
          <w:sz w:val="19"/>
          <w:szCs w:val="19"/>
          <w:lang w:eastAsia="it-IT"/>
        </w:rPr>
      </w:pPr>
      <w:r w:rsidRPr="004B72F8">
        <w:rPr>
          <w:rFonts w:ascii="Arial" w:eastAsia="Times New Roman" w:hAnsi="Arial" w:cs="Arial"/>
          <w:color w:val="000000"/>
          <w:sz w:val="19"/>
          <w:szCs w:val="19"/>
          <w:lang w:eastAsia="it-IT"/>
        </w:rPr>
        <w:t>- </w:t>
      </w:r>
      <w:r w:rsidRPr="004B72F8">
        <w:rPr>
          <w:rFonts w:ascii="Arial" w:eastAsia="Times New Roman" w:hAnsi="Arial" w:cs="Arial"/>
          <w:color w:val="000000"/>
          <w:sz w:val="19"/>
          <w:lang w:eastAsia="it-IT"/>
        </w:rPr>
        <w:t>bonifico</w:t>
      </w:r>
      <w:r w:rsidRPr="004B72F8">
        <w:rPr>
          <w:rFonts w:ascii="Arial" w:eastAsia="Times New Roman" w:hAnsi="Arial" w:cs="Arial"/>
          <w:color w:val="000000"/>
          <w:sz w:val="19"/>
          <w:szCs w:val="19"/>
          <w:lang w:eastAsia="it-IT"/>
        </w:rPr>
        <w:t> (bancario o postale) sul conto - identificato dal codice IBAN - indicato dal lavoratore</w:t>
      </w:r>
    </w:p>
    <w:p w:rsidR="004B72F8" w:rsidRPr="004B72F8" w:rsidRDefault="004B72F8" w:rsidP="004B72F8">
      <w:pPr>
        <w:shd w:val="clear" w:color="auto" w:fill="FFFFFF"/>
        <w:spacing w:line="285" w:lineRule="atLeast"/>
        <w:textAlignment w:val="baseline"/>
        <w:rPr>
          <w:rFonts w:ascii="Arial" w:eastAsia="Times New Roman" w:hAnsi="Arial" w:cs="Arial"/>
          <w:color w:val="000000"/>
          <w:sz w:val="19"/>
          <w:szCs w:val="19"/>
          <w:lang w:eastAsia="it-IT"/>
        </w:rPr>
      </w:pPr>
      <w:r w:rsidRPr="004B72F8">
        <w:rPr>
          <w:rFonts w:ascii="Arial" w:eastAsia="Times New Roman" w:hAnsi="Arial" w:cs="Arial"/>
          <w:color w:val="000000"/>
          <w:sz w:val="19"/>
          <w:szCs w:val="19"/>
          <w:lang w:eastAsia="it-IT"/>
        </w:rPr>
        <w:t>- strumenti di </w:t>
      </w:r>
      <w:r w:rsidRPr="004B72F8">
        <w:rPr>
          <w:rFonts w:ascii="Arial" w:eastAsia="Times New Roman" w:hAnsi="Arial" w:cs="Arial"/>
          <w:color w:val="000000"/>
          <w:sz w:val="19"/>
          <w:lang w:eastAsia="it-IT"/>
        </w:rPr>
        <w:t>pagamento elettronico</w:t>
      </w:r>
    </w:p>
    <w:p w:rsidR="004B72F8" w:rsidRPr="004B72F8" w:rsidRDefault="004B72F8" w:rsidP="004B72F8">
      <w:pPr>
        <w:shd w:val="clear" w:color="auto" w:fill="FFFFFF"/>
        <w:spacing w:line="285" w:lineRule="atLeast"/>
        <w:textAlignment w:val="baseline"/>
        <w:rPr>
          <w:rFonts w:ascii="Arial" w:eastAsia="Times New Roman" w:hAnsi="Arial" w:cs="Arial"/>
          <w:color w:val="000000"/>
          <w:sz w:val="19"/>
          <w:szCs w:val="19"/>
          <w:lang w:eastAsia="it-IT"/>
        </w:rPr>
      </w:pPr>
      <w:r w:rsidRPr="004B72F8">
        <w:rPr>
          <w:rFonts w:ascii="Arial" w:eastAsia="Times New Roman" w:hAnsi="Arial" w:cs="Arial"/>
          <w:color w:val="000000"/>
          <w:sz w:val="19"/>
          <w:szCs w:val="19"/>
          <w:lang w:eastAsia="it-IT"/>
        </w:rPr>
        <w:t>- pagamento in contanti presso lo </w:t>
      </w:r>
      <w:r w:rsidRPr="004B72F8">
        <w:rPr>
          <w:rFonts w:ascii="Arial" w:eastAsia="Times New Roman" w:hAnsi="Arial" w:cs="Arial"/>
          <w:color w:val="000000"/>
          <w:sz w:val="19"/>
          <w:lang w:eastAsia="it-IT"/>
        </w:rPr>
        <w:t>sportello bancario o postale</w:t>
      </w:r>
      <w:r w:rsidRPr="004B72F8">
        <w:rPr>
          <w:rFonts w:ascii="Arial" w:eastAsia="Times New Roman" w:hAnsi="Arial" w:cs="Arial"/>
          <w:color w:val="000000"/>
          <w:sz w:val="19"/>
          <w:szCs w:val="19"/>
          <w:lang w:eastAsia="it-IT"/>
        </w:rPr>
        <w:t> dove il datore di lavoro abbia aperto un conto corrente di tesoreria con mandato di pagamento</w:t>
      </w:r>
    </w:p>
    <w:p w:rsidR="004B72F8" w:rsidRPr="004B72F8" w:rsidRDefault="004B72F8" w:rsidP="004B72F8">
      <w:pPr>
        <w:shd w:val="clear" w:color="auto" w:fill="FFFFFF"/>
        <w:spacing w:line="285" w:lineRule="atLeast"/>
        <w:textAlignment w:val="baseline"/>
        <w:rPr>
          <w:rFonts w:ascii="Arial" w:eastAsia="Times New Roman" w:hAnsi="Arial" w:cs="Arial"/>
          <w:color w:val="000000"/>
          <w:sz w:val="19"/>
          <w:szCs w:val="19"/>
          <w:lang w:eastAsia="it-IT"/>
        </w:rPr>
      </w:pPr>
      <w:r w:rsidRPr="004B72F8">
        <w:rPr>
          <w:rFonts w:ascii="Arial" w:eastAsia="Times New Roman" w:hAnsi="Arial" w:cs="Arial"/>
          <w:color w:val="000000"/>
          <w:sz w:val="19"/>
          <w:szCs w:val="19"/>
          <w:lang w:eastAsia="it-IT"/>
        </w:rPr>
        <w:t>- emissione di un </w:t>
      </w:r>
      <w:r w:rsidRPr="004B72F8">
        <w:rPr>
          <w:rFonts w:ascii="Arial" w:eastAsia="Times New Roman" w:hAnsi="Arial" w:cs="Arial"/>
          <w:color w:val="000000"/>
          <w:sz w:val="19"/>
          <w:lang w:eastAsia="it-IT"/>
        </w:rPr>
        <w:t>assegno </w:t>
      </w:r>
      <w:r w:rsidRPr="004B72F8">
        <w:rPr>
          <w:rFonts w:ascii="Arial" w:eastAsia="Times New Roman" w:hAnsi="Arial" w:cs="Arial"/>
          <w:color w:val="000000"/>
          <w:sz w:val="19"/>
          <w:szCs w:val="19"/>
          <w:lang w:eastAsia="it-IT"/>
        </w:rPr>
        <w:t>consegnato direttamente al lavoratore o, in caso di suo comprovato impedimento, a un suo delegato. Viene considerato comprovato l’impedimento qualora il delegato sia: il coniuge, il convivente o un familiare, in linea retta o collaterale, del lavoratore, purché di età non inferiore a 16 anni.</w:t>
      </w:r>
    </w:p>
    <w:p w:rsidR="004B72F8" w:rsidRPr="004B72F8" w:rsidRDefault="004B72F8" w:rsidP="004B72F8">
      <w:pPr>
        <w:shd w:val="clear" w:color="auto" w:fill="FFFFFF"/>
        <w:spacing w:before="408" w:after="340" w:line="326" w:lineRule="atLeast"/>
        <w:textAlignment w:val="baseline"/>
        <w:outlineLvl w:val="1"/>
        <w:rPr>
          <w:rFonts w:ascii="Arial" w:eastAsia="Times New Roman" w:hAnsi="Arial" w:cs="Arial"/>
          <w:color w:val="000000"/>
          <w:sz w:val="25"/>
          <w:szCs w:val="25"/>
          <w:u w:val="single"/>
          <w:lang w:eastAsia="it-IT"/>
        </w:rPr>
      </w:pPr>
      <w:r w:rsidRPr="004B72F8">
        <w:rPr>
          <w:rFonts w:ascii="Arial" w:eastAsia="Times New Roman" w:hAnsi="Arial" w:cs="Arial"/>
          <w:color w:val="000000"/>
          <w:sz w:val="25"/>
          <w:szCs w:val="25"/>
          <w:u w:val="single"/>
          <w:lang w:eastAsia="it-IT"/>
        </w:rPr>
        <w:t>Sanzioni</w:t>
      </w:r>
    </w:p>
    <w:p w:rsidR="004B72F8" w:rsidRPr="004B72F8" w:rsidRDefault="004B72F8" w:rsidP="004B72F8">
      <w:pPr>
        <w:shd w:val="clear" w:color="auto" w:fill="FFFFFF"/>
        <w:spacing w:line="285" w:lineRule="atLeast"/>
        <w:textAlignment w:val="baseline"/>
        <w:rPr>
          <w:rFonts w:ascii="Arial" w:eastAsia="Times New Roman" w:hAnsi="Arial" w:cs="Arial"/>
          <w:color w:val="000000"/>
          <w:sz w:val="19"/>
          <w:szCs w:val="19"/>
          <w:lang w:eastAsia="it-IT"/>
        </w:rPr>
      </w:pPr>
      <w:r w:rsidRPr="004B72F8">
        <w:rPr>
          <w:rFonts w:ascii="Arial" w:eastAsia="Times New Roman" w:hAnsi="Arial" w:cs="Arial"/>
          <w:color w:val="000000"/>
          <w:sz w:val="19"/>
          <w:szCs w:val="19"/>
          <w:lang w:eastAsia="it-IT"/>
        </w:rPr>
        <w:t>Il pagamento della retribuzione effettuato con l’utilizzo di denaro contante, comporterà violazione alla disposizione in oggetto e l’emissione, da parte degli organi di vigilanza, di una sanzione amministrativa pecuniaria consistente nel pagamento di una somma </w:t>
      </w:r>
      <w:r w:rsidRPr="004B72F8">
        <w:rPr>
          <w:rFonts w:ascii="Arial" w:eastAsia="Times New Roman" w:hAnsi="Arial" w:cs="Arial"/>
          <w:color w:val="000000"/>
          <w:sz w:val="19"/>
          <w:lang w:eastAsia="it-IT"/>
        </w:rPr>
        <w:t>da 1.000 a 5.000 euro</w:t>
      </w:r>
      <w:r w:rsidRPr="004B72F8">
        <w:rPr>
          <w:rFonts w:ascii="Arial" w:eastAsia="Times New Roman" w:hAnsi="Arial" w:cs="Arial"/>
          <w:color w:val="000000"/>
          <w:sz w:val="19"/>
          <w:szCs w:val="19"/>
          <w:lang w:eastAsia="it-IT"/>
        </w:rPr>
        <w:t>.</w:t>
      </w:r>
    </w:p>
    <w:p w:rsidR="004B72F8" w:rsidRPr="004B72F8" w:rsidRDefault="004B72F8" w:rsidP="004B72F8">
      <w:pPr>
        <w:shd w:val="clear" w:color="auto" w:fill="FFFFFF"/>
        <w:spacing w:before="408" w:after="340" w:line="326" w:lineRule="atLeast"/>
        <w:textAlignment w:val="baseline"/>
        <w:outlineLvl w:val="1"/>
        <w:rPr>
          <w:rFonts w:ascii="Arial" w:eastAsia="Times New Roman" w:hAnsi="Arial" w:cs="Arial"/>
          <w:color w:val="000000"/>
          <w:sz w:val="25"/>
          <w:szCs w:val="25"/>
          <w:u w:val="single"/>
          <w:lang w:eastAsia="it-IT"/>
        </w:rPr>
      </w:pPr>
      <w:r w:rsidRPr="004B72F8">
        <w:rPr>
          <w:rFonts w:ascii="Arial" w:eastAsia="Times New Roman" w:hAnsi="Arial" w:cs="Arial"/>
          <w:color w:val="000000"/>
          <w:sz w:val="25"/>
          <w:szCs w:val="25"/>
          <w:u w:val="single"/>
          <w:lang w:eastAsia="it-IT"/>
        </w:rPr>
        <w:t>Valore della firma del lavoratore sulla busta paga</w:t>
      </w:r>
    </w:p>
    <w:p w:rsidR="004B72F8" w:rsidRPr="004B72F8" w:rsidRDefault="004B72F8" w:rsidP="004B72F8">
      <w:pPr>
        <w:shd w:val="clear" w:color="auto" w:fill="FFFFFF"/>
        <w:spacing w:line="285" w:lineRule="atLeast"/>
        <w:textAlignment w:val="baseline"/>
        <w:rPr>
          <w:rFonts w:ascii="Arial" w:eastAsia="Times New Roman" w:hAnsi="Arial" w:cs="Arial"/>
          <w:color w:val="000000"/>
          <w:sz w:val="19"/>
          <w:szCs w:val="19"/>
          <w:lang w:eastAsia="it-IT"/>
        </w:rPr>
      </w:pPr>
      <w:r w:rsidRPr="004B72F8">
        <w:rPr>
          <w:rFonts w:ascii="Arial" w:eastAsia="Times New Roman" w:hAnsi="Arial" w:cs="Arial"/>
          <w:color w:val="000000"/>
          <w:sz w:val="19"/>
          <w:szCs w:val="19"/>
          <w:lang w:eastAsia="it-IT"/>
        </w:rPr>
        <w:t>Un’ultima precisazione il legislatore la dispone in merito al valore della quietanza, fornita dal lavoratore con la </w:t>
      </w:r>
      <w:r w:rsidRPr="004B72F8">
        <w:rPr>
          <w:rFonts w:ascii="Arial" w:eastAsia="Times New Roman" w:hAnsi="Arial" w:cs="Arial"/>
          <w:color w:val="000000"/>
          <w:sz w:val="19"/>
          <w:lang w:eastAsia="it-IT"/>
        </w:rPr>
        <w:t>sottoscrizione della busta paga</w:t>
      </w:r>
      <w:r w:rsidRPr="004B72F8">
        <w:rPr>
          <w:rFonts w:ascii="Arial" w:eastAsia="Times New Roman" w:hAnsi="Arial" w:cs="Arial"/>
          <w:color w:val="000000"/>
          <w:sz w:val="19"/>
          <w:szCs w:val="19"/>
          <w:lang w:eastAsia="it-IT"/>
        </w:rPr>
        <w:t>.</w:t>
      </w:r>
    </w:p>
    <w:p w:rsidR="004B72F8" w:rsidRPr="004B72F8" w:rsidRDefault="004B72F8" w:rsidP="004B72F8">
      <w:pPr>
        <w:shd w:val="clear" w:color="auto" w:fill="FFFFFF"/>
        <w:spacing w:line="285" w:lineRule="atLeast"/>
        <w:textAlignment w:val="baseline"/>
        <w:rPr>
          <w:rFonts w:ascii="Arial" w:eastAsia="Times New Roman" w:hAnsi="Arial" w:cs="Arial"/>
          <w:color w:val="000000"/>
          <w:sz w:val="19"/>
          <w:szCs w:val="19"/>
          <w:lang w:eastAsia="it-IT"/>
        </w:rPr>
      </w:pPr>
      <w:r w:rsidRPr="004B72F8">
        <w:rPr>
          <w:rFonts w:ascii="Arial" w:eastAsia="Times New Roman" w:hAnsi="Arial" w:cs="Arial"/>
          <w:color w:val="000000"/>
          <w:sz w:val="19"/>
          <w:szCs w:val="19"/>
          <w:lang w:eastAsia="it-IT"/>
        </w:rPr>
        <w:t>L’ultimo periodo del comma 912 evidenzia come la firma apposta dal lavoratore sulla busta paga non costituisca prova dell'avvenuto pagamento della retribuzione. Detta prescrizione è un ulteriore chiarimento a ciò che la giurisprudenza di legittimità aveva già più volte affermato e cioè che la sottoscrizione “per quietanza” o “per ricevuta”, apposta dal lavoratore alla busta paga, non implica, di per sé, in maniera univoca, l'effettivo pagamento della somma indicata nel medesimo documento, e pertanto non è da ritenersi </w:t>
      </w:r>
      <w:r w:rsidRPr="004B72F8">
        <w:rPr>
          <w:rFonts w:ascii="Arial" w:eastAsia="Times New Roman" w:hAnsi="Arial" w:cs="Arial"/>
          <w:color w:val="000000"/>
          <w:sz w:val="19"/>
          <w:lang w:eastAsia="it-IT"/>
        </w:rPr>
        <w:t>prova </w:t>
      </w:r>
      <w:r w:rsidRPr="004B72F8">
        <w:rPr>
          <w:rFonts w:ascii="Arial" w:eastAsia="Times New Roman" w:hAnsi="Arial" w:cs="Arial"/>
          <w:color w:val="000000"/>
          <w:sz w:val="19"/>
          <w:szCs w:val="19"/>
          <w:lang w:eastAsia="it-IT"/>
        </w:rPr>
        <w:t>di tale</w:t>
      </w:r>
      <w:r w:rsidRPr="004B72F8">
        <w:rPr>
          <w:rFonts w:ascii="Arial" w:eastAsia="Times New Roman" w:hAnsi="Arial" w:cs="Arial"/>
          <w:color w:val="000000"/>
          <w:sz w:val="19"/>
          <w:lang w:eastAsia="it-IT"/>
        </w:rPr>
        <w:t> pagamento</w:t>
      </w:r>
      <w:r w:rsidRPr="004B72F8">
        <w:rPr>
          <w:rFonts w:ascii="Arial" w:eastAsia="Times New Roman" w:hAnsi="Arial" w:cs="Arial"/>
          <w:color w:val="000000"/>
          <w:sz w:val="19"/>
          <w:szCs w:val="19"/>
          <w:lang w:eastAsia="it-IT"/>
        </w:rPr>
        <w:t>.</w:t>
      </w:r>
    </w:p>
    <w:p w:rsidR="004B72F8" w:rsidRPr="004B72F8" w:rsidRDefault="004B72F8" w:rsidP="004B72F8">
      <w:pPr>
        <w:shd w:val="clear" w:color="auto" w:fill="FFFFFF"/>
        <w:spacing w:line="285" w:lineRule="atLeast"/>
        <w:textAlignment w:val="baseline"/>
        <w:rPr>
          <w:rFonts w:ascii="Arial" w:eastAsia="Times New Roman" w:hAnsi="Arial" w:cs="Arial"/>
          <w:color w:val="000000"/>
          <w:sz w:val="19"/>
          <w:szCs w:val="19"/>
          <w:lang w:eastAsia="it-IT"/>
        </w:rPr>
      </w:pPr>
      <w:r w:rsidRPr="004B72F8">
        <w:rPr>
          <w:rFonts w:ascii="Arial" w:eastAsia="Times New Roman" w:hAnsi="Arial" w:cs="Arial"/>
          <w:color w:val="000000"/>
          <w:sz w:val="19"/>
          <w:szCs w:val="19"/>
          <w:lang w:eastAsia="it-IT"/>
        </w:rPr>
        <w:t>Tra le più recenti, evidenzio la sentenza n. 9294/2011 che stabilisce che “è onere del datore di lavoro di consegnare ai propri dipendenti i prospetti contenenti tutti gli elementi della retribuzione e che, comunque, i detti prospetti, anche se eventualmente sottoscritti dal prestatore d'opera con la formula "per ricevuta", non sono sufficienti per ritenere delibato l'effettivo pagamento, potendo costituire prova solo dell'avvenuta consegna della busta paga e restando onerato il datore di lavoro, in caso di contestazione, della dimostrazione di tale evento. Pertanto, la sottoscrizione della busta paga dimostra soltanto la sua regolare consegna al dipendente, mentre la prova dell'effettivo pagamento è totalmente a carico del datore di lavoro.”</w:t>
      </w:r>
    </w:p>
    <w:p w:rsidR="00D21DDA" w:rsidRDefault="00D21DDA"/>
    <w:sectPr w:rsidR="00D21DDA" w:rsidSect="00D21DD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E5AFD"/>
    <w:multiLevelType w:val="multilevel"/>
    <w:tmpl w:val="27D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0B5170"/>
    <w:multiLevelType w:val="multilevel"/>
    <w:tmpl w:val="1F04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2C226A"/>
    <w:multiLevelType w:val="multilevel"/>
    <w:tmpl w:val="EDC0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4B72F8"/>
    <w:rsid w:val="004B72F8"/>
    <w:rsid w:val="00D21DDA"/>
    <w:rsid w:val="00FE09E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1DDA"/>
  </w:style>
  <w:style w:type="paragraph" w:styleId="Titolo1">
    <w:name w:val="heading 1"/>
    <w:basedOn w:val="Normale"/>
    <w:link w:val="Titolo1Carattere"/>
    <w:uiPriority w:val="9"/>
    <w:qFormat/>
    <w:rsid w:val="004B72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4B72F8"/>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B72F8"/>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4B72F8"/>
    <w:rPr>
      <w:rFonts w:ascii="Times New Roman" w:eastAsia="Times New Roman" w:hAnsi="Times New Roman" w:cs="Times New Roman"/>
      <w:b/>
      <w:bCs/>
      <w:sz w:val="36"/>
      <w:szCs w:val="36"/>
      <w:lang w:eastAsia="it-IT"/>
    </w:rPr>
  </w:style>
  <w:style w:type="paragraph" w:customStyle="1" w:styleId="author">
    <w:name w:val="author"/>
    <w:basedOn w:val="Normale"/>
    <w:rsid w:val="004B72F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4B72F8"/>
    <w:rPr>
      <w:color w:val="0000FF"/>
      <w:u w:val="single"/>
    </w:rPr>
  </w:style>
  <w:style w:type="paragraph" w:customStyle="1" w:styleId="abstract">
    <w:name w:val="abstract"/>
    <w:basedOn w:val="Normale"/>
    <w:rsid w:val="004B72F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B72F8"/>
    <w:rPr>
      <w:b/>
      <w:bCs/>
    </w:rPr>
  </w:style>
</w:styles>
</file>

<file path=word/webSettings.xml><?xml version="1.0" encoding="utf-8"?>
<w:webSettings xmlns:r="http://schemas.openxmlformats.org/officeDocument/2006/relationships" xmlns:w="http://schemas.openxmlformats.org/wordprocessingml/2006/main">
  <w:divs>
    <w:div w:id="201408076">
      <w:bodyDiv w:val="1"/>
      <w:marLeft w:val="0"/>
      <w:marRight w:val="0"/>
      <w:marTop w:val="0"/>
      <w:marBottom w:val="0"/>
      <w:divBdr>
        <w:top w:val="none" w:sz="0" w:space="0" w:color="auto"/>
        <w:left w:val="none" w:sz="0" w:space="0" w:color="auto"/>
        <w:bottom w:val="none" w:sz="0" w:space="0" w:color="auto"/>
        <w:right w:val="none" w:sz="0" w:space="0" w:color="auto"/>
      </w:divBdr>
      <w:divsChild>
        <w:div w:id="259603964">
          <w:marLeft w:val="0"/>
          <w:marRight w:val="0"/>
          <w:marTop w:val="0"/>
          <w:marBottom w:val="245"/>
          <w:divBdr>
            <w:top w:val="none" w:sz="0" w:space="0" w:color="auto"/>
            <w:left w:val="none" w:sz="0" w:space="0" w:color="auto"/>
            <w:bottom w:val="none" w:sz="0" w:space="0" w:color="auto"/>
            <w:right w:val="none" w:sz="0" w:space="0" w:color="auto"/>
          </w:divBdr>
        </w:div>
        <w:div w:id="1820882185">
          <w:marLeft w:val="0"/>
          <w:marRight w:val="0"/>
          <w:marTop w:val="0"/>
          <w:marBottom w:val="0"/>
          <w:divBdr>
            <w:top w:val="none" w:sz="0" w:space="0" w:color="auto"/>
            <w:left w:val="none" w:sz="0" w:space="0" w:color="auto"/>
            <w:bottom w:val="none" w:sz="0" w:space="0" w:color="auto"/>
            <w:right w:val="none" w:sz="0" w:space="0" w:color="auto"/>
          </w:divBdr>
          <w:divsChild>
            <w:div w:id="676155560">
              <w:marLeft w:val="0"/>
              <w:marRight w:val="0"/>
              <w:marTop w:val="0"/>
              <w:marBottom w:val="0"/>
              <w:divBdr>
                <w:top w:val="none" w:sz="0" w:space="0" w:color="auto"/>
                <w:left w:val="none" w:sz="0" w:space="0" w:color="auto"/>
                <w:bottom w:val="none" w:sz="0" w:space="0" w:color="auto"/>
                <w:right w:val="none" w:sz="0" w:space="0" w:color="auto"/>
              </w:divBdr>
              <w:divsChild>
                <w:div w:id="1519931482">
                  <w:marLeft w:val="0"/>
                  <w:marRight w:val="0"/>
                  <w:marTop w:val="41"/>
                  <w:marBottom w:val="0"/>
                  <w:divBdr>
                    <w:top w:val="single" w:sz="6" w:space="10" w:color="000000"/>
                    <w:left w:val="none" w:sz="0" w:space="0" w:color="auto"/>
                    <w:bottom w:val="none" w:sz="0" w:space="0" w:color="auto"/>
                    <w:right w:val="none" w:sz="0" w:space="0" w:color="auto"/>
                  </w:divBdr>
                  <w:divsChild>
                    <w:div w:id="1052120962">
                      <w:marLeft w:val="0"/>
                      <w:marRight w:val="0"/>
                      <w:marTop w:val="68"/>
                      <w:marBottom w:val="0"/>
                      <w:divBdr>
                        <w:top w:val="none" w:sz="0" w:space="0" w:color="auto"/>
                        <w:left w:val="none" w:sz="0" w:space="0" w:color="auto"/>
                        <w:bottom w:val="none" w:sz="0" w:space="0" w:color="auto"/>
                        <w:right w:val="none" w:sz="0" w:space="0" w:color="auto"/>
                      </w:divBdr>
                      <w:divsChild>
                        <w:div w:id="213386524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 w:id="1083718242">
              <w:marLeft w:val="0"/>
              <w:marRight w:val="0"/>
              <w:marTop w:val="0"/>
              <w:marBottom w:val="0"/>
              <w:divBdr>
                <w:top w:val="none" w:sz="0" w:space="0" w:color="auto"/>
                <w:left w:val="none" w:sz="0" w:space="0" w:color="auto"/>
                <w:bottom w:val="none" w:sz="0" w:space="0" w:color="auto"/>
                <w:right w:val="none" w:sz="0" w:space="0" w:color="auto"/>
              </w:divBdr>
              <w:divsChild>
                <w:div w:id="1246766401">
                  <w:marLeft w:val="0"/>
                  <w:marRight w:val="0"/>
                  <w:marTop w:val="0"/>
                  <w:marBottom w:val="0"/>
                  <w:divBdr>
                    <w:top w:val="none" w:sz="0" w:space="0" w:color="auto"/>
                    <w:left w:val="none" w:sz="0" w:space="0" w:color="auto"/>
                    <w:bottom w:val="none" w:sz="0" w:space="0" w:color="auto"/>
                    <w:right w:val="none" w:sz="0" w:space="0" w:color="auto"/>
                  </w:divBdr>
                  <w:divsChild>
                    <w:div w:id="1425222122">
                      <w:marLeft w:val="0"/>
                      <w:marRight w:val="0"/>
                      <w:marTop w:val="0"/>
                      <w:marBottom w:val="272"/>
                      <w:divBdr>
                        <w:top w:val="none" w:sz="0" w:space="0" w:color="auto"/>
                        <w:left w:val="none" w:sz="0" w:space="0" w:color="auto"/>
                        <w:bottom w:val="none" w:sz="0" w:space="0" w:color="auto"/>
                        <w:right w:val="none" w:sz="0" w:space="0" w:color="auto"/>
                      </w:divBdr>
                    </w:div>
                    <w:div w:id="379551591">
                      <w:marLeft w:val="0"/>
                      <w:marRight w:val="0"/>
                      <w:marTop w:val="0"/>
                      <w:marBottom w:val="272"/>
                      <w:divBdr>
                        <w:top w:val="none" w:sz="0" w:space="0" w:color="auto"/>
                        <w:left w:val="none" w:sz="0" w:space="0" w:color="auto"/>
                        <w:bottom w:val="none" w:sz="0" w:space="0" w:color="auto"/>
                        <w:right w:val="none" w:sz="0" w:space="0" w:color="auto"/>
                      </w:divBdr>
                    </w:div>
                    <w:div w:id="1058283812">
                      <w:marLeft w:val="0"/>
                      <w:marRight w:val="0"/>
                      <w:marTop w:val="0"/>
                      <w:marBottom w:val="272"/>
                      <w:divBdr>
                        <w:top w:val="none" w:sz="0" w:space="0" w:color="auto"/>
                        <w:left w:val="none" w:sz="0" w:space="0" w:color="auto"/>
                        <w:bottom w:val="none" w:sz="0" w:space="0" w:color="auto"/>
                        <w:right w:val="none" w:sz="0" w:space="0" w:color="auto"/>
                      </w:divBdr>
                    </w:div>
                    <w:div w:id="1754663670">
                      <w:marLeft w:val="0"/>
                      <w:marRight w:val="0"/>
                      <w:marTop w:val="0"/>
                      <w:marBottom w:val="272"/>
                      <w:divBdr>
                        <w:top w:val="none" w:sz="0" w:space="0" w:color="auto"/>
                        <w:left w:val="none" w:sz="0" w:space="0" w:color="auto"/>
                        <w:bottom w:val="none" w:sz="0" w:space="0" w:color="auto"/>
                        <w:right w:val="none" w:sz="0" w:space="0" w:color="auto"/>
                      </w:divBdr>
                    </w:div>
                    <w:div w:id="413480213">
                      <w:marLeft w:val="0"/>
                      <w:marRight w:val="0"/>
                      <w:marTop w:val="0"/>
                      <w:marBottom w:val="272"/>
                      <w:divBdr>
                        <w:top w:val="none" w:sz="0" w:space="0" w:color="auto"/>
                        <w:left w:val="none" w:sz="0" w:space="0" w:color="auto"/>
                        <w:bottom w:val="none" w:sz="0" w:space="0" w:color="auto"/>
                        <w:right w:val="none" w:sz="0" w:space="0" w:color="auto"/>
                      </w:divBdr>
                    </w:div>
                    <w:div w:id="1877043667">
                      <w:marLeft w:val="0"/>
                      <w:marRight w:val="0"/>
                      <w:marTop w:val="0"/>
                      <w:marBottom w:val="272"/>
                      <w:divBdr>
                        <w:top w:val="none" w:sz="0" w:space="0" w:color="auto"/>
                        <w:left w:val="none" w:sz="0" w:space="0" w:color="auto"/>
                        <w:bottom w:val="none" w:sz="0" w:space="0" w:color="auto"/>
                        <w:right w:val="none" w:sz="0" w:space="0" w:color="auto"/>
                      </w:divBdr>
                    </w:div>
                    <w:div w:id="2095589496">
                      <w:marLeft w:val="0"/>
                      <w:marRight w:val="0"/>
                      <w:marTop w:val="0"/>
                      <w:marBottom w:val="272"/>
                      <w:divBdr>
                        <w:top w:val="none" w:sz="0" w:space="0" w:color="auto"/>
                        <w:left w:val="none" w:sz="0" w:space="0" w:color="auto"/>
                        <w:bottom w:val="none" w:sz="0" w:space="0" w:color="auto"/>
                        <w:right w:val="none" w:sz="0" w:space="0" w:color="auto"/>
                      </w:divBdr>
                    </w:div>
                    <w:div w:id="492598993">
                      <w:marLeft w:val="0"/>
                      <w:marRight w:val="0"/>
                      <w:marTop w:val="0"/>
                      <w:marBottom w:val="272"/>
                      <w:divBdr>
                        <w:top w:val="none" w:sz="0" w:space="0" w:color="auto"/>
                        <w:left w:val="none" w:sz="0" w:space="0" w:color="auto"/>
                        <w:bottom w:val="none" w:sz="0" w:space="0" w:color="auto"/>
                        <w:right w:val="none" w:sz="0" w:space="0" w:color="auto"/>
                      </w:divBdr>
                    </w:div>
                    <w:div w:id="1286742095">
                      <w:marLeft w:val="0"/>
                      <w:marRight w:val="0"/>
                      <w:marTop w:val="0"/>
                      <w:marBottom w:val="272"/>
                      <w:divBdr>
                        <w:top w:val="none" w:sz="0" w:space="0" w:color="auto"/>
                        <w:left w:val="none" w:sz="0" w:space="0" w:color="auto"/>
                        <w:bottom w:val="none" w:sz="0" w:space="0" w:color="auto"/>
                        <w:right w:val="none" w:sz="0" w:space="0" w:color="auto"/>
                      </w:divBdr>
                    </w:div>
                    <w:div w:id="425853290">
                      <w:marLeft w:val="0"/>
                      <w:marRight w:val="0"/>
                      <w:marTop w:val="0"/>
                      <w:marBottom w:val="272"/>
                      <w:divBdr>
                        <w:top w:val="none" w:sz="0" w:space="0" w:color="auto"/>
                        <w:left w:val="none" w:sz="0" w:space="0" w:color="auto"/>
                        <w:bottom w:val="none" w:sz="0" w:space="0" w:color="auto"/>
                        <w:right w:val="none" w:sz="0" w:space="0" w:color="auto"/>
                      </w:divBdr>
                    </w:div>
                    <w:div w:id="1116484360">
                      <w:marLeft w:val="0"/>
                      <w:marRight w:val="0"/>
                      <w:marTop w:val="0"/>
                      <w:marBottom w:val="272"/>
                      <w:divBdr>
                        <w:top w:val="none" w:sz="0" w:space="0" w:color="auto"/>
                        <w:left w:val="none" w:sz="0" w:space="0" w:color="auto"/>
                        <w:bottom w:val="none" w:sz="0" w:space="0" w:color="auto"/>
                        <w:right w:val="none" w:sz="0" w:space="0" w:color="auto"/>
                      </w:divBdr>
                    </w:div>
                    <w:div w:id="1651133549">
                      <w:marLeft w:val="0"/>
                      <w:marRight w:val="0"/>
                      <w:marTop w:val="0"/>
                      <w:marBottom w:val="272"/>
                      <w:divBdr>
                        <w:top w:val="none" w:sz="0" w:space="0" w:color="auto"/>
                        <w:left w:val="none" w:sz="0" w:space="0" w:color="auto"/>
                        <w:bottom w:val="none" w:sz="0" w:space="0" w:color="auto"/>
                        <w:right w:val="none" w:sz="0" w:space="0" w:color="auto"/>
                      </w:divBdr>
                    </w:div>
                    <w:div w:id="489180600">
                      <w:marLeft w:val="0"/>
                      <w:marRight w:val="0"/>
                      <w:marTop w:val="0"/>
                      <w:marBottom w:val="272"/>
                      <w:divBdr>
                        <w:top w:val="none" w:sz="0" w:space="0" w:color="auto"/>
                        <w:left w:val="none" w:sz="0" w:space="0" w:color="auto"/>
                        <w:bottom w:val="none" w:sz="0" w:space="0" w:color="auto"/>
                        <w:right w:val="none" w:sz="0" w:space="0" w:color="auto"/>
                      </w:divBdr>
                    </w:div>
                    <w:div w:id="405345311">
                      <w:marLeft w:val="0"/>
                      <w:marRight w:val="0"/>
                      <w:marTop w:val="0"/>
                      <w:marBottom w:val="272"/>
                      <w:divBdr>
                        <w:top w:val="none" w:sz="0" w:space="0" w:color="auto"/>
                        <w:left w:val="none" w:sz="0" w:space="0" w:color="auto"/>
                        <w:bottom w:val="none" w:sz="0" w:space="0" w:color="auto"/>
                        <w:right w:val="none" w:sz="0" w:space="0" w:color="auto"/>
                      </w:divBdr>
                    </w:div>
                    <w:div w:id="1929920895">
                      <w:marLeft w:val="0"/>
                      <w:marRight w:val="0"/>
                      <w:marTop w:val="0"/>
                      <w:marBottom w:val="272"/>
                      <w:divBdr>
                        <w:top w:val="none" w:sz="0" w:space="0" w:color="auto"/>
                        <w:left w:val="none" w:sz="0" w:space="0" w:color="auto"/>
                        <w:bottom w:val="none" w:sz="0" w:space="0" w:color="auto"/>
                        <w:right w:val="none" w:sz="0" w:space="0" w:color="auto"/>
                      </w:divBdr>
                    </w:div>
                    <w:div w:id="1020397876">
                      <w:marLeft w:val="0"/>
                      <w:marRight w:val="0"/>
                      <w:marTop w:val="0"/>
                      <w:marBottom w:val="272"/>
                      <w:divBdr>
                        <w:top w:val="none" w:sz="0" w:space="0" w:color="auto"/>
                        <w:left w:val="none" w:sz="0" w:space="0" w:color="auto"/>
                        <w:bottom w:val="none" w:sz="0" w:space="0" w:color="auto"/>
                        <w:right w:val="none" w:sz="0" w:space="0" w:color="auto"/>
                      </w:divBdr>
                    </w:div>
                    <w:div w:id="422724378">
                      <w:marLeft w:val="0"/>
                      <w:marRight w:val="0"/>
                      <w:marTop w:val="0"/>
                      <w:marBottom w:val="272"/>
                      <w:divBdr>
                        <w:top w:val="none" w:sz="0" w:space="0" w:color="auto"/>
                        <w:left w:val="none" w:sz="0" w:space="0" w:color="auto"/>
                        <w:bottom w:val="none" w:sz="0" w:space="0" w:color="auto"/>
                        <w:right w:val="none" w:sz="0" w:space="0" w:color="auto"/>
                      </w:divBdr>
                    </w:div>
                    <w:div w:id="1223323830">
                      <w:marLeft w:val="0"/>
                      <w:marRight w:val="0"/>
                      <w:marTop w:val="0"/>
                      <w:marBottom w:val="272"/>
                      <w:divBdr>
                        <w:top w:val="none" w:sz="0" w:space="0" w:color="auto"/>
                        <w:left w:val="none" w:sz="0" w:space="0" w:color="auto"/>
                        <w:bottom w:val="none" w:sz="0" w:space="0" w:color="auto"/>
                        <w:right w:val="none" w:sz="0" w:space="0" w:color="auto"/>
                      </w:divBdr>
                    </w:div>
                    <w:div w:id="265041944">
                      <w:marLeft w:val="0"/>
                      <w:marRight w:val="0"/>
                      <w:marTop w:val="0"/>
                      <w:marBottom w:val="272"/>
                      <w:divBdr>
                        <w:top w:val="none" w:sz="0" w:space="0" w:color="auto"/>
                        <w:left w:val="none" w:sz="0" w:space="0" w:color="auto"/>
                        <w:bottom w:val="none" w:sz="0" w:space="0" w:color="auto"/>
                        <w:right w:val="none" w:sz="0" w:space="0" w:color="auto"/>
                      </w:divBdr>
                    </w:div>
                    <w:div w:id="2094356950">
                      <w:marLeft w:val="0"/>
                      <w:marRight w:val="0"/>
                      <w:marTop w:val="0"/>
                      <w:marBottom w:val="272"/>
                      <w:divBdr>
                        <w:top w:val="none" w:sz="0" w:space="0" w:color="auto"/>
                        <w:left w:val="none" w:sz="0" w:space="0" w:color="auto"/>
                        <w:bottom w:val="none" w:sz="0" w:space="0" w:color="auto"/>
                        <w:right w:val="none" w:sz="0" w:space="0" w:color="auto"/>
                      </w:divBdr>
                    </w:div>
                    <w:div w:id="18052463">
                      <w:marLeft w:val="0"/>
                      <w:marRight w:val="0"/>
                      <w:marTop w:val="0"/>
                      <w:marBottom w:val="272"/>
                      <w:divBdr>
                        <w:top w:val="none" w:sz="0" w:space="0" w:color="auto"/>
                        <w:left w:val="none" w:sz="0" w:space="0" w:color="auto"/>
                        <w:bottom w:val="none" w:sz="0" w:space="0" w:color="auto"/>
                        <w:right w:val="none" w:sz="0" w:space="0" w:color="auto"/>
                      </w:divBdr>
                    </w:div>
                    <w:div w:id="1403408585">
                      <w:marLeft w:val="0"/>
                      <w:marRight w:val="0"/>
                      <w:marTop w:val="0"/>
                      <w:marBottom w:val="272"/>
                      <w:divBdr>
                        <w:top w:val="none" w:sz="0" w:space="0" w:color="auto"/>
                        <w:left w:val="none" w:sz="0" w:space="0" w:color="auto"/>
                        <w:bottom w:val="none" w:sz="0" w:space="0" w:color="auto"/>
                        <w:right w:val="none" w:sz="0" w:space="0" w:color="auto"/>
                      </w:divBdr>
                    </w:div>
                    <w:div w:id="1595823599">
                      <w:marLeft w:val="0"/>
                      <w:marRight w:val="0"/>
                      <w:marTop w:val="0"/>
                      <w:marBottom w:val="272"/>
                      <w:divBdr>
                        <w:top w:val="none" w:sz="0" w:space="0" w:color="auto"/>
                        <w:left w:val="none" w:sz="0" w:space="0" w:color="auto"/>
                        <w:bottom w:val="none" w:sz="0" w:space="0" w:color="auto"/>
                        <w:right w:val="none" w:sz="0" w:space="0" w:color="auto"/>
                      </w:divBdr>
                    </w:div>
                    <w:div w:id="1296989910">
                      <w:marLeft w:val="0"/>
                      <w:marRight w:val="0"/>
                      <w:marTop w:val="0"/>
                      <w:marBottom w:val="272"/>
                      <w:divBdr>
                        <w:top w:val="none" w:sz="0" w:space="0" w:color="auto"/>
                        <w:left w:val="none" w:sz="0" w:space="0" w:color="auto"/>
                        <w:bottom w:val="none" w:sz="0" w:space="0" w:color="auto"/>
                        <w:right w:val="none" w:sz="0" w:space="0" w:color="auto"/>
                      </w:divBdr>
                    </w:div>
                    <w:div w:id="99373275">
                      <w:marLeft w:val="0"/>
                      <w:marRight w:val="0"/>
                      <w:marTop w:val="0"/>
                      <w:marBottom w:val="272"/>
                      <w:divBdr>
                        <w:top w:val="none" w:sz="0" w:space="0" w:color="auto"/>
                        <w:left w:val="none" w:sz="0" w:space="0" w:color="auto"/>
                        <w:bottom w:val="none" w:sz="0" w:space="0" w:color="auto"/>
                        <w:right w:val="none" w:sz="0" w:space="0" w:color="auto"/>
                      </w:divBdr>
                    </w:div>
                    <w:div w:id="85537284">
                      <w:marLeft w:val="0"/>
                      <w:marRight w:val="0"/>
                      <w:marTop w:val="0"/>
                      <w:marBottom w:val="272"/>
                      <w:divBdr>
                        <w:top w:val="none" w:sz="0" w:space="0" w:color="auto"/>
                        <w:left w:val="none" w:sz="0" w:space="0" w:color="auto"/>
                        <w:bottom w:val="none" w:sz="0" w:space="0" w:color="auto"/>
                        <w:right w:val="none" w:sz="0" w:space="0" w:color="auto"/>
                      </w:divBdr>
                    </w:div>
                    <w:div w:id="1804500462">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921</Words>
  <Characters>5252</Characters>
  <Application>Microsoft Office Word</Application>
  <DocSecurity>0</DocSecurity>
  <Lines>43</Lines>
  <Paragraphs>12</Paragraphs>
  <ScaleCrop>false</ScaleCrop>
  <Company/>
  <LinksUpToDate>false</LinksUpToDate>
  <CharactersWithSpaces>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Traversa</dc:creator>
  <cp:lastModifiedBy>Traversa</cp:lastModifiedBy>
  <cp:revision>1</cp:revision>
  <dcterms:created xsi:type="dcterms:W3CDTF">2018-05-10T07:11:00Z</dcterms:created>
  <dcterms:modified xsi:type="dcterms:W3CDTF">2018-05-10T07:14:00Z</dcterms:modified>
</cp:coreProperties>
</file>