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4D2" w:rsidRPr="00E564D2" w:rsidRDefault="00E564D2" w:rsidP="0049739E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u w:val="single"/>
          <w:lang w:eastAsia="it-IT"/>
        </w:rPr>
      </w:pPr>
      <w:r w:rsidRPr="00E564D2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u w:val="single"/>
          <w:lang w:eastAsia="it-IT"/>
        </w:rPr>
        <w:t>Addio stipendio in contanti</w:t>
      </w:r>
    </w:p>
    <w:p w:rsidR="00E564D2" w:rsidRPr="00E564D2" w:rsidRDefault="00E564D2" w:rsidP="0049739E">
      <w:pPr>
        <w:shd w:val="clear" w:color="auto" w:fill="FFFFFF"/>
        <w:spacing w:after="150" w:line="338" w:lineRule="atLeast"/>
        <w:jc w:val="center"/>
        <w:outlineLvl w:val="1"/>
        <w:rPr>
          <w:rFonts w:ascii="Arial" w:eastAsia="Times New Roman" w:hAnsi="Arial" w:cs="Arial"/>
          <w:i/>
          <w:iCs/>
          <w:color w:val="222222"/>
          <w:sz w:val="36"/>
          <w:szCs w:val="36"/>
          <w:lang w:eastAsia="it-IT"/>
        </w:rPr>
      </w:pPr>
      <w:r w:rsidRPr="00E564D2">
        <w:rPr>
          <w:rFonts w:ascii="Arial" w:eastAsia="Times New Roman" w:hAnsi="Arial" w:cs="Arial"/>
          <w:i/>
          <w:iCs/>
          <w:color w:val="222222"/>
          <w:sz w:val="36"/>
          <w:szCs w:val="36"/>
          <w:lang w:eastAsia="it-IT"/>
        </w:rPr>
        <w:t>Imprese e professionisti non potranno più pagare in contanti dipendenti e collaboratori, stipendio sempre tracciabile tramite bonifico, assegno o sportello: nuova legge già passata alla Camera.</w:t>
      </w:r>
    </w:p>
    <w:p w:rsidR="00E564D2" w:rsidRDefault="00E564D2" w:rsidP="00E564D2">
      <w:pPr>
        <w:pStyle w:val="Normale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1A1A1A"/>
        </w:rPr>
      </w:pPr>
      <w:r>
        <w:rPr>
          <w:rStyle w:val="Enfasigrassetto"/>
          <w:rFonts w:ascii="Arial" w:hAnsi="Arial" w:cs="Arial"/>
          <w:color w:val="1A1A1A"/>
        </w:rPr>
        <w:t>Divieto</w:t>
      </w:r>
      <w:r>
        <w:rPr>
          <w:rFonts w:ascii="Arial" w:hAnsi="Arial" w:cs="Arial"/>
          <w:color w:val="1A1A1A"/>
        </w:rPr>
        <w:t> di pagare lo </w:t>
      </w:r>
      <w:r>
        <w:rPr>
          <w:rStyle w:val="Enfasigrassetto"/>
          <w:rFonts w:ascii="Arial" w:hAnsi="Arial" w:cs="Arial"/>
          <w:color w:val="1A1A1A"/>
        </w:rPr>
        <w:t>stipendio in contanti</w:t>
      </w:r>
      <w:r>
        <w:rPr>
          <w:rFonts w:ascii="Arial" w:hAnsi="Arial" w:cs="Arial"/>
          <w:color w:val="1A1A1A"/>
        </w:rPr>
        <w:t> per qualsiasi tipologia di rapporto (dipendente, collaboratori) e datore di lavoro: se l’impresa vuole versare la retribuzione in moneta sonante dovrà al massimo agire al massimo per il tramite di uno sportello bancario o postale; sono previste alcune esclusioni come il lavoro domestico, ma per tutte le altre formule di lavoro privato dovrà essere garantita la </w:t>
      </w:r>
      <w:r>
        <w:rPr>
          <w:rStyle w:val="Enfasigrassetto"/>
          <w:rFonts w:ascii="Arial" w:hAnsi="Arial" w:cs="Arial"/>
          <w:color w:val="1A1A1A"/>
        </w:rPr>
        <w:t>tracciabilità del pagamento</w:t>
      </w:r>
      <w:r>
        <w:rPr>
          <w:rFonts w:ascii="Arial" w:hAnsi="Arial" w:cs="Arial"/>
          <w:color w:val="1A1A1A"/>
        </w:rPr>
        <w:t>. Lo prescrive una nuova </w:t>
      </w:r>
      <w:r>
        <w:rPr>
          <w:rStyle w:val="Enfasigrassetto"/>
          <w:rFonts w:ascii="Arial" w:hAnsi="Arial" w:cs="Arial"/>
          <w:color w:val="1A1A1A"/>
        </w:rPr>
        <w:t>legge</w:t>
      </w:r>
      <w:r>
        <w:rPr>
          <w:rFonts w:ascii="Arial" w:hAnsi="Arial" w:cs="Arial"/>
          <w:color w:val="1A1A1A"/>
        </w:rPr>
        <w:t> sulle retribuzioni: già approvata alla</w:t>
      </w:r>
      <w:r>
        <w:rPr>
          <w:rStyle w:val="Enfasigrassetto"/>
          <w:rFonts w:ascii="Arial" w:hAnsi="Arial" w:cs="Arial"/>
          <w:color w:val="1A1A1A"/>
        </w:rPr>
        <w:t> Camera</w:t>
      </w:r>
      <w:r>
        <w:rPr>
          <w:rFonts w:ascii="Arial" w:hAnsi="Arial" w:cs="Arial"/>
          <w:color w:val="1A1A1A"/>
        </w:rPr>
        <w:t>, deve ora passare al Senato.</w:t>
      </w:r>
    </w:p>
    <w:p w:rsidR="00E564D2" w:rsidRDefault="00E564D2" w:rsidP="00E564D2">
      <w:pPr>
        <w:pStyle w:val="Normale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La legge è pensata per evitare comportamenti scorretti, come il pagamento di stipendi inferiori a quelli previsti dai contratti nazionali o da quelli indicati in </w:t>
      </w:r>
      <w:r>
        <w:rPr>
          <w:rStyle w:val="Enfasigrassetto"/>
          <w:rFonts w:ascii="Arial" w:hAnsi="Arial" w:cs="Arial"/>
          <w:color w:val="1A1A1A"/>
        </w:rPr>
        <w:t>busta paga</w:t>
      </w:r>
      <w:r>
        <w:rPr>
          <w:rFonts w:ascii="Arial" w:hAnsi="Arial" w:cs="Arial"/>
          <w:color w:val="1A1A1A"/>
        </w:rPr>
        <w:t>. Con il pagamento tracciabile, il datore di lavoro non potrà più versare una somma diversa da quella dichiarata.</w:t>
      </w:r>
    </w:p>
    <w:p w:rsidR="00E564D2" w:rsidRDefault="00E564D2" w:rsidP="00E564D2">
      <w:pPr>
        <w:pStyle w:val="Normale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In base alla legge (che per ora non è ancora stata approvata definitivamente), il pagamento della retribuzione potrà avvenire esclusivamente tramite </w:t>
      </w:r>
      <w:r>
        <w:rPr>
          <w:rStyle w:val="Enfasigrassetto"/>
          <w:rFonts w:ascii="Arial" w:hAnsi="Arial" w:cs="Arial"/>
          <w:color w:val="1A1A1A"/>
        </w:rPr>
        <w:t>bonifico</w:t>
      </w:r>
      <w:r>
        <w:rPr>
          <w:rFonts w:ascii="Arial" w:hAnsi="Arial" w:cs="Arial"/>
          <w:color w:val="1A1A1A"/>
        </w:rPr>
        <w:t>, con </w:t>
      </w:r>
      <w:r>
        <w:rPr>
          <w:rStyle w:val="Enfasigrassetto"/>
          <w:rFonts w:ascii="Arial" w:hAnsi="Arial" w:cs="Arial"/>
          <w:color w:val="1A1A1A"/>
        </w:rPr>
        <w:t>assegno</w:t>
      </w:r>
      <w:r>
        <w:rPr>
          <w:rFonts w:ascii="Arial" w:hAnsi="Arial" w:cs="Arial"/>
          <w:color w:val="1A1A1A"/>
        </w:rPr>
        <w:t>, o in contanti ma soltanto attraverso uno </w:t>
      </w:r>
      <w:r>
        <w:rPr>
          <w:rStyle w:val="Enfasigrassetto"/>
          <w:rFonts w:ascii="Arial" w:hAnsi="Arial" w:cs="Arial"/>
          <w:color w:val="1A1A1A"/>
        </w:rPr>
        <w:t>sportello </w:t>
      </w:r>
      <w:r>
        <w:rPr>
          <w:rFonts w:ascii="Arial" w:hAnsi="Arial" w:cs="Arial"/>
          <w:color w:val="1A1A1A"/>
        </w:rPr>
        <w:t>bancario o postale. In quest’ultimo caso, il datore di lavoro deve comunicare al centro per l’impiego gli estremi della banca o dell’ufficio postale attraverso il quale vengono effettuati i pagamenti di stipendio, dandone notifica qualora si cambi lo sportello di riferimento.</w:t>
      </w:r>
    </w:p>
    <w:p w:rsidR="00E564D2" w:rsidRDefault="00E564D2" w:rsidP="00E564D2">
      <w:pPr>
        <w:pStyle w:val="Normale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In tutto questo, la firma della busta paga da parte del lavoratore non costituirà più </w:t>
      </w:r>
      <w:r>
        <w:rPr>
          <w:rStyle w:val="Enfasigrassetto"/>
          <w:rFonts w:ascii="Arial" w:hAnsi="Arial" w:cs="Arial"/>
          <w:color w:val="1A1A1A"/>
        </w:rPr>
        <w:t>prova del pagamento</w:t>
      </w:r>
      <w:r>
        <w:rPr>
          <w:rFonts w:ascii="Arial" w:hAnsi="Arial" w:cs="Arial"/>
          <w:color w:val="1A1A1A"/>
        </w:rPr>
        <w:t> ella retribuzione.</w:t>
      </w:r>
    </w:p>
    <w:p w:rsidR="00E564D2" w:rsidRDefault="00E564D2" w:rsidP="00E564D2">
      <w:pPr>
        <w:pStyle w:val="Normale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La norma prevede, per chi non rispetto il divieto di pagamento delle retribuzioni in contanti, una </w:t>
      </w:r>
      <w:r>
        <w:rPr>
          <w:rStyle w:val="Enfasigrassetto"/>
          <w:rFonts w:ascii="Arial" w:hAnsi="Arial" w:cs="Arial"/>
          <w:color w:val="1A1A1A"/>
        </w:rPr>
        <w:t>sanzione</w:t>
      </w:r>
      <w:r>
        <w:rPr>
          <w:rFonts w:ascii="Arial" w:hAnsi="Arial" w:cs="Arial"/>
          <w:color w:val="1A1A1A"/>
        </w:rPr>
        <w:t> da 5mila a 50mila euro. Se invece l’impresa effettua i pagamenti attraverso uno sportello bancario o postale ma non ne comunica gli estremi ai centri per l’impiego, scatta una sanzione di 500 euro.</w:t>
      </w:r>
    </w:p>
    <w:p w:rsidR="00F031D2" w:rsidRDefault="00904B29" w:rsidP="00F031D2">
      <w:pPr>
        <w:spacing w:after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Salerno, 23.11.2017</w:t>
      </w:r>
    </w:p>
    <w:p w:rsidR="00F031D2" w:rsidRPr="00CF0884" w:rsidRDefault="00F031D2" w:rsidP="00F031D2">
      <w:pPr>
        <w:spacing w:after="0"/>
        <w:jc w:val="center"/>
        <w:rPr>
          <w:rFonts w:ascii="Bradley Hand ITC" w:hAnsi="Bradley Hand ITC"/>
          <w:b/>
          <w:sz w:val="44"/>
          <w:szCs w:val="44"/>
        </w:rPr>
      </w:pPr>
      <w:r w:rsidRPr="00F031D2">
        <w:rPr>
          <w:rFonts w:ascii="Bradley Hand ITC" w:hAnsi="Bradley Hand ITC"/>
          <w:b/>
          <w:sz w:val="44"/>
          <w:szCs w:val="44"/>
        </w:rPr>
        <w:t xml:space="preserve"> </w:t>
      </w:r>
      <w:r w:rsidRPr="00CF0884">
        <w:rPr>
          <w:rFonts w:ascii="Bradley Hand ITC" w:hAnsi="Bradley Hand ITC"/>
          <w:b/>
          <w:sz w:val="44"/>
          <w:szCs w:val="44"/>
        </w:rPr>
        <w:t>LAIF</w:t>
      </w:r>
    </w:p>
    <w:p w:rsidR="00F031D2" w:rsidRDefault="00F031D2" w:rsidP="00F031D2">
      <w:pPr>
        <w:spacing w:after="0"/>
        <w:jc w:val="center"/>
        <w:rPr>
          <w:rFonts w:ascii="Bradley Hand ITC" w:hAnsi="Bradley Hand ITC"/>
          <w:b/>
          <w:i/>
          <w:sz w:val="24"/>
          <w:szCs w:val="24"/>
        </w:rPr>
      </w:pPr>
      <w:r w:rsidRPr="005C2058">
        <w:rPr>
          <w:rFonts w:ascii="Bradley Hand ITC" w:hAnsi="Bradley Hand ITC"/>
          <w:b/>
          <w:i/>
          <w:sz w:val="24"/>
          <w:szCs w:val="24"/>
        </w:rPr>
        <w:t xml:space="preserve">Libera Associazione Imprese </w:t>
      </w:r>
      <w:proofErr w:type="spellStart"/>
      <w:r w:rsidRPr="005C2058">
        <w:rPr>
          <w:rFonts w:ascii="Bradley Hand ITC" w:hAnsi="Bradley Hand ITC"/>
          <w:b/>
          <w:i/>
          <w:sz w:val="24"/>
          <w:szCs w:val="24"/>
        </w:rPr>
        <w:t>Façoniste</w:t>
      </w:r>
      <w:proofErr w:type="spellEnd"/>
    </w:p>
    <w:p w:rsidR="00F031D2" w:rsidRDefault="00F031D2" w:rsidP="00F031D2">
      <w:pPr>
        <w:spacing w:after="0"/>
        <w:jc w:val="center"/>
        <w:rPr>
          <w:rFonts w:ascii="Bradley Hand ITC" w:hAnsi="Bradley Hand ITC"/>
          <w:b/>
          <w:i/>
          <w:sz w:val="24"/>
          <w:szCs w:val="24"/>
        </w:rPr>
      </w:pPr>
    </w:p>
    <w:p w:rsidR="00F031D2" w:rsidRDefault="00F031D2" w:rsidP="00F031D2">
      <w:pPr>
        <w:spacing w:after="0"/>
        <w:jc w:val="center"/>
        <w:rPr>
          <w:rFonts w:ascii="Bradley Hand ITC" w:hAnsi="Bradley Hand ITC"/>
          <w:b/>
          <w:i/>
          <w:sz w:val="24"/>
          <w:szCs w:val="24"/>
        </w:rPr>
      </w:pPr>
      <w:r>
        <w:rPr>
          <w:rFonts w:ascii="Bradley Hand ITC" w:hAnsi="Bradley Hand ITC"/>
          <w:b/>
          <w:i/>
          <w:noProof/>
          <w:sz w:val="24"/>
          <w:szCs w:val="24"/>
          <w:lang w:eastAsia="it-IT"/>
        </w:rPr>
        <w:drawing>
          <wp:inline distT="0" distB="0" distL="0" distR="0">
            <wp:extent cx="762000" cy="447675"/>
            <wp:effectExtent l="19050" t="0" r="0" b="0"/>
            <wp:docPr id="3" name="Immagine 1" descr="C:\Documents and Settings\traversa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raversa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B29" w:rsidRDefault="00904B29" w:rsidP="00E564D2">
      <w:pPr>
        <w:pStyle w:val="Normale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1A1A1A"/>
        </w:rPr>
      </w:pPr>
    </w:p>
    <w:sectPr w:rsidR="00904B29" w:rsidSect="00D21D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A0A8F"/>
    <w:multiLevelType w:val="multilevel"/>
    <w:tmpl w:val="92403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564D2"/>
    <w:rsid w:val="0049739E"/>
    <w:rsid w:val="004F4001"/>
    <w:rsid w:val="00904B29"/>
    <w:rsid w:val="00B66EAB"/>
    <w:rsid w:val="00B829E9"/>
    <w:rsid w:val="00D21DDA"/>
    <w:rsid w:val="00E564D2"/>
    <w:rsid w:val="00ED12D0"/>
    <w:rsid w:val="00F03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1DDA"/>
  </w:style>
  <w:style w:type="paragraph" w:styleId="Titolo1">
    <w:name w:val="heading 1"/>
    <w:basedOn w:val="Normale"/>
    <w:link w:val="Titolo1Carattere"/>
    <w:uiPriority w:val="9"/>
    <w:qFormat/>
    <w:rsid w:val="00E564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E564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64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64D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564D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564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eWeb">
    <w:name w:val="Normal (Web)"/>
    <w:basedOn w:val="Normale"/>
    <w:uiPriority w:val="99"/>
    <w:semiHidden/>
    <w:unhideWhenUsed/>
    <w:rsid w:val="00E56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564D2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E564D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1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Traversa</dc:creator>
  <cp:lastModifiedBy>Traversa</cp:lastModifiedBy>
  <cp:revision>6</cp:revision>
  <dcterms:created xsi:type="dcterms:W3CDTF">2017-11-23T07:04:00Z</dcterms:created>
  <dcterms:modified xsi:type="dcterms:W3CDTF">2017-12-08T07:48:00Z</dcterms:modified>
</cp:coreProperties>
</file>